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B00F4">
      <w:pPr>
        <w:pStyle w:val="Heading1"/>
        <w:divId w:val="2139954502"/>
        <w:rPr>
          <w:rFonts w:eastAsia="Times New Roman"/>
        </w:rPr>
      </w:pPr>
      <w:bookmarkStart w:id="0" w:name="content"/>
      <w:bookmarkEnd w:id="0"/>
      <w:r>
        <w:rPr>
          <w:rFonts w:eastAsia="Times New Roman"/>
        </w:rPr>
        <w:t>Laws and Regulation</w:t>
      </w:r>
      <w:r>
        <w:rPr>
          <w:rFonts w:eastAsia="Times New Roman"/>
        </w:rPr>
        <w:t>s</w:t>
      </w:r>
    </w:p>
    <w:p w:rsidR="00000000" w:rsidRDefault="00FB00F4">
      <w:pPr>
        <w:pStyle w:val="Heading2"/>
        <w:divId w:val="1298756748"/>
        <w:rPr>
          <w:rFonts w:eastAsia="Times New Roman"/>
        </w:rPr>
      </w:pPr>
      <w:bookmarkStart w:id="1" w:name="P38_3503"/>
      <w:r>
        <w:rPr>
          <w:rFonts w:eastAsia="Times New Roman"/>
        </w:rPr>
        <w:t>What are the federal laws and guidance that relate to the protection of privacy for individuals and businesses?</w:t>
      </w:r>
    </w:p>
    <w:p w:rsidR="00000000" w:rsidRDefault="00FB00F4">
      <w:pPr>
        <w:numPr>
          <w:ilvl w:val="0"/>
          <w:numId w:val="2"/>
        </w:numPr>
        <w:spacing w:before="100" w:beforeAutospacing="1" w:after="100" w:afterAutospacing="1"/>
        <w:divId w:val="1298756748"/>
        <w:rPr>
          <w:rFonts w:eastAsia="Times New Roman"/>
        </w:rPr>
      </w:pPr>
      <w:r>
        <w:rPr>
          <w:rFonts w:eastAsia="Times New Roman"/>
        </w:rPr>
        <w:t xml:space="preserve">The </w:t>
      </w:r>
      <w:hyperlink r:id="rId6" w:history="1">
        <w:r>
          <w:rPr>
            <w:rStyle w:val="Hyperlink"/>
            <w:rFonts w:eastAsia="Times New Roman"/>
          </w:rPr>
          <w:t>Privacy Act of 1974, 5 U.S.C. § 552a</w:t>
        </w:r>
      </w:hyperlink>
      <w:r>
        <w:rPr>
          <w:rFonts w:eastAsia="Times New Roman"/>
        </w:rPr>
        <w:t xml:space="preserve">, provides privacy protections for records </w:t>
      </w:r>
      <w:r>
        <w:rPr>
          <w:rFonts w:eastAsia="Times New Roman"/>
        </w:rPr>
        <w:t xml:space="preserve">containing information about individuals (i.e., citizen and legal permanent resident) that are collected and maintained by the federal government and are retrieved by a personal identifier. The Act requires agencies to safeguard information contained in a </w:t>
      </w:r>
      <w:r>
        <w:rPr>
          <w:rFonts w:eastAsia="Times New Roman"/>
        </w:rPr>
        <w:t>system of records.</w:t>
      </w:r>
    </w:p>
    <w:p w:rsidR="00000000" w:rsidRDefault="00FB00F4">
      <w:pPr>
        <w:numPr>
          <w:ilvl w:val="0"/>
          <w:numId w:val="2"/>
        </w:numPr>
        <w:spacing w:before="100" w:beforeAutospacing="1" w:after="100" w:afterAutospacing="1"/>
        <w:divId w:val="1298756748"/>
        <w:rPr>
          <w:rFonts w:eastAsia="Times New Roman"/>
        </w:rPr>
      </w:pPr>
      <w:r>
        <w:rPr>
          <w:rFonts w:eastAsia="Times New Roman"/>
        </w:rPr>
        <w:t>The</w:t>
      </w:r>
      <w:hyperlink r:id="rId7" w:history="1">
        <w:r>
          <w:rPr>
            <w:rStyle w:val="Hyperlink"/>
            <w:rFonts w:eastAsia="Times New Roman"/>
          </w:rPr>
          <w:t xml:space="preserve"> Federal Information Security Management Act of 2002, 44 U.S.C. § 3541</w:t>
        </w:r>
      </w:hyperlink>
      <w:r>
        <w:rPr>
          <w:rFonts w:eastAsia="Times New Roman"/>
        </w:rPr>
        <w:t xml:space="preserve">, requires agencies to develop, document, and implement an agency-wide program </w:t>
      </w:r>
      <w:r>
        <w:rPr>
          <w:rFonts w:eastAsia="Times New Roman"/>
        </w:rPr>
        <w:t>to provide information security for the information and information systems that support the operations and assets of an agency.</w:t>
      </w:r>
    </w:p>
    <w:p w:rsidR="00000000" w:rsidRDefault="00FB00F4">
      <w:pPr>
        <w:numPr>
          <w:ilvl w:val="0"/>
          <w:numId w:val="2"/>
        </w:numPr>
        <w:spacing w:before="100" w:beforeAutospacing="1" w:after="100" w:afterAutospacing="1"/>
        <w:divId w:val="1298756748"/>
        <w:rPr>
          <w:rFonts w:eastAsia="Times New Roman"/>
        </w:rPr>
      </w:pPr>
      <w:r>
        <w:rPr>
          <w:rFonts w:eastAsia="Times New Roman"/>
        </w:rPr>
        <w:t xml:space="preserve">OMB Memorandum M-03-22, Guidance for Implementing the Privacy Provisions of the E-Government Act of 2002 (September 26, 2003), </w:t>
      </w:r>
      <w:r>
        <w:rPr>
          <w:rFonts w:eastAsia="Times New Roman"/>
        </w:rPr>
        <w:t>requires agencies to conduct reviews of how information about individuals is handled when information technology (IT) is used to collect new information, or when agencies develop or buy new IT systems to handle collections of personally identifiable inform</w:t>
      </w:r>
      <w:r>
        <w:rPr>
          <w:rFonts w:eastAsia="Times New Roman"/>
        </w:rPr>
        <w:t>ation, and to describe how the agency handles information that individuals provide electronically.</w:t>
      </w:r>
    </w:p>
    <w:p w:rsidR="00000000" w:rsidRDefault="00FB00F4">
      <w:pPr>
        <w:numPr>
          <w:ilvl w:val="0"/>
          <w:numId w:val="2"/>
        </w:numPr>
        <w:spacing w:before="100" w:beforeAutospacing="1" w:after="100" w:afterAutospacing="1"/>
        <w:divId w:val="1298756748"/>
        <w:rPr>
          <w:rFonts w:eastAsia="Times New Roman"/>
        </w:rPr>
      </w:pPr>
      <w:hyperlink r:id="rId8" w:history="1">
        <w:r>
          <w:rPr>
            <w:rStyle w:val="Hyperlink"/>
            <w:rFonts w:eastAsia="Times New Roman"/>
          </w:rPr>
          <w:t>OMB Memorandum M-06-15</w:t>
        </w:r>
      </w:hyperlink>
      <w:r>
        <w:rPr>
          <w:rFonts w:eastAsia="Times New Roman"/>
        </w:rPr>
        <w:t xml:space="preserve">, Safeguarding Personally Identifiable </w:t>
      </w:r>
      <w:r>
        <w:rPr>
          <w:rFonts w:eastAsia="Times New Roman"/>
        </w:rPr>
        <w:t>Information (May 22, 2006), reiterates and emphasizes agency responsibilities under law and policy to appropriately safeguard sensitive PII and train employees regarding their responsibilities for protecting privacy.</w:t>
      </w:r>
    </w:p>
    <w:p w:rsidR="00000000" w:rsidRDefault="00FB00F4">
      <w:pPr>
        <w:numPr>
          <w:ilvl w:val="0"/>
          <w:numId w:val="2"/>
        </w:numPr>
        <w:spacing w:before="100" w:beforeAutospacing="1" w:after="100" w:afterAutospacing="1"/>
        <w:divId w:val="1298756748"/>
        <w:rPr>
          <w:rFonts w:eastAsia="Times New Roman"/>
        </w:rPr>
      </w:pPr>
      <w:hyperlink r:id="rId9" w:history="1">
        <w:r>
          <w:rPr>
            <w:rStyle w:val="Hyperlink"/>
            <w:rFonts w:eastAsia="Times New Roman"/>
          </w:rPr>
          <w:t>OMB Memorandum M-06-16</w:t>
        </w:r>
      </w:hyperlink>
      <w:r>
        <w:rPr>
          <w:rFonts w:eastAsia="Times New Roman"/>
        </w:rPr>
        <w:t>, Protection of Sensitive Agency Information (June 23, 2006), requires agencies to implement encryption protections for PII being transported and/or stored offsite.</w:t>
      </w:r>
    </w:p>
    <w:p w:rsidR="00000000" w:rsidRDefault="00FB00F4">
      <w:pPr>
        <w:numPr>
          <w:ilvl w:val="0"/>
          <w:numId w:val="2"/>
        </w:numPr>
        <w:spacing w:before="100" w:beforeAutospacing="1" w:after="100" w:afterAutospacing="1"/>
        <w:divId w:val="1298756748"/>
        <w:rPr>
          <w:rFonts w:eastAsia="Times New Roman"/>
        </w:rPr>
      </w:pPr>
      <w:hyperlink r:id="rId10" w:history="1">
        <w:r>
          <w:rPr>
            <w:rStyle w:val="Hyperlink"/>
            <w:rFonts w:eastAsia="Times New Roman"/>
          </w:rPr>
          <w:t>OMB Memorandum M-06-19</w:t>
        </w:r>
      </w:hyperlink>
      <w:r>
        <w:rPr>
          <w:rFonts w:eastAsia="Times New Roman"/>
        </w:rPr>
        <w:t>, Reporting Incidents Involving Personally Identifiable Information and Incorporating the Cost for Security in Agency Information Technology Investments</w:t>
      </w:r>
      <w:r>
        <w:rPr>
          <w:rFonts w:eastAsia="Times New Roman"/>
        </w:rPr>
        <w:t xml:space="preserve"> (July 12, 2006), requires agencies to report all incidents involving PII to US-CERT within one hour of discovery of the incident.</w:t>
      </w:r>
    </w:p>
    <w:p w:rsidR="00000000" w:rsidRDefault="00FB00F4">
      <w:pPr>
        <w:numPr>
          <w:ilvl w:val="0"/>
          <w:numId w:val="2"/>
        </w:numPr>
        <w:spacing w:before="100" w:beforeAutospacing="1" w:after="100" w:afterAutospacing="1"/>
        <w:divId w:val="1298756748"/>
        <w:rPr>
          <w:rFonts w:eastAsia="Times New Roman"/>
        </w:rPr>
      </w:pPr>
      <w:hyperlink r:id="rId11" w:history="1">
        <w:r>
          <w:rPr>
            <w:rStyle w:val="Hyperlink"/>
            <w:rFonts w:eastAsia="Times New Roman"/>
          </w:rPr>
          <w:t>OMB’</w:t>
        </w:r>
        <w:r>
          <w:rPr>
            <w:rStyle w:val="Hyperlink"/>
            <w:rFonts w:eastAsia="Times New Roman"/>
          </w:rPr>
          <w:t xml:space="preserve">s Memorandum entitled Recommendations for Identity Theft Related Data Breach Notification </w:t>
        </w:r>
      </w:hyperlink>
      <w:r>
        <w:rPr>
          <w:rFonts w:eastAsia="Times New Roman"/>
        </w:rPr>
        <w:t>(September 20, 2006) outlines recommendations to agencies from the President's Identity Theft Task Force for developing agency planning and response procedures for ad</w:t>
      </w:r>
      <w:r>
        <w:rPr>
          <w:rFonts w:eastAsia="Times New Roman"/>
        </w:rPr>
        <w:t>dressing PII incidents that could result in identify theft.</w:t>
      </w:r>
    </w:p>
    <w:p w:rsidR="00000000" w:rsidRDefault="00FB00F4">
      <w:pPr>
        <w:numPr>
          <w:ilvl w:val="0"/>
          <w:numId w:val="2"/>
        </w:numPr>
        <w:spacing w:before="100" w:beforeAutospacing="1" w:after="100" w:afterAutospacing="1"/>
        <w:divId w:val="1298756748"/>
        <w:rPr>
          <w:rFonts w:eastAsia="Times New Roman"/>
        </w:rPr>
      </w:pPr>
      <w:hyperlink r:id="rId12" w:history="1">
        <w:r>
          <w:rPr>
            <w:rStyle w:val="Hyperlink"/>
            <w:rFonts w:eastAsia="Times New Roman"/>
          </w:rPr>
          <w:t>OMB Memorandum M-07-16</w:t>
        </w:r>
      </w:hyperlink>
      <w:r>
        <w:rPr>
          <w:rFonts w:eastAsia="Times New Roman"/>
        </w:rPr>
        <w:t xml:space="preserve">, Safeguarding Against and Responding to the Breach of Personally Identifiable </w:t>
      </w:r>
      <w:r>
        <w:rPr>
          <w:rFonts w:eastAsia="Times New Roman"/>
        </w:rPr>
        <w:t>Information (May 22, 2007), identifies existing procedures and establishes several new actions agencies should take to safeguard PII and to respond to Privacy Incidents.</w:t>
      </w:r>
    </w:p>
    <w:p w:rsidR="00000000" w:rsidRDefault="00FB00F4">
      <w:pPr>
        <w:numPr>
          <w:ilvl w:val="0"/>
          <w:numId w:val="2"/>
        </w:numPr>
        <w:spacing w:before="100" w:beforeAutospacing="1" w:after="100" w:afterAutospacing="1"/>
        <w:divId w:val="1298756748"/>
        <w:rPr>
          <w:rFonts w:eastAsia="Times New Roman"/>
        </w:rPr>
      </w:pPr>
      <w:hyperlink r:id="rId13" w:history="1">
        <w:r>
          <w:rPr>
            <w:rStyle w:val="Hyperlink"/>
            <w:rFonts w:eastAsia="Times New Roman"/>
          </w:rPr>
          <w:t>OMB Memorandum M-11-02</w:t>
        </w:r>
      </w:hyperlink>
      <w:r>
        <w:rPr>
          <w:rFonts w:eastAsia="Times New Roman"/>
        </w:rPr>
        <w:t>, Sharing Data While Protecting Privacy (November 3, 2010), requires agencies to develop and implement solutions that allow data sharing to move forward in a manner that complies with applicable privacy laws, regulations, and p</w:t>
      </w:r>
      <w:r>
        <w:rPr>
          <w:rFonts w:eastAsia="Times New Roman"/>
        </w:rPr>
        <w:t>olicies.</w:t>
      </w:r>
    </w:p>
    <w:p w:rsidR="00000000" w:rsidRDefault="00FB00F4">
      <w:pPr>
        <w:pStyle w:val="NormalWeb"/>
        <w:divId w:val="1298756748"/>
      </w:pPr>
      <w:r>
        <w:t> </w:t>
      </w:r>
    </w:p>
    <w:p w:rsidR="00000000" w:rsidRDefault="00FB00F4">
      <w:pPr>
        <w:pStyle w:val="NormalWeb"/>
        <w:divId w:val="1298756748"/>
      </w:pPr>
      <w:r>
        <w:t>.</w:t>
      </w:r>
    </w:p>
    <w:bookmarkEnd w:id="1"/>
    <w:p w:rsidR="00000000" w:rsidRDefault="00FB00F4">
      <w:pPr>
        <w:pStyle w:val="Heading2"/>
        <w:divId w:val="1298756748"/>
        <w:rPr>
          <w:rFonts w:eastAsia="Times New Roman"/>
        </w:rPr>
      </w:pPr>
      <w:r>
        <w:rPr>
          <w:rFonts w:eastAsia="Times New Roman"/>
        </w:rPr>
        <w:t>What are the federal laws and guidance that relate to the protection of privacy for individuals and businesses?</w:t>
      </w:r>
    </w:p>
    <w:p w:rsidR="00000000" w:rsidRDefault="00FB00F4">
      <w:pPr>
        <w:numPr>
          <w:ilvl w:val="0"/>
          <w:numId w:val="3"/>
        </w:numPr>
        <w:spacing w:before="100" w:beforeAutospacing="1" w:after="100" w:afterAutospacing="1"/>
        <w:divId w:val="1298756748"/>
        <w:rPr>
          <w:rFonts w:eastAsia="Times New Roman"/>
        </w:rPr>
      </w:pPr>
      <w:r>
        <w:rPr>
          <w:rFonts w:eastAsia="Times New Roman"/>
        </w:rPr>
        <w:t>The </w:t>
      </w:r>
      <w:hyperlink r:id="rId14" w:tgtFrame="_top" w:history="1">
        <w:r>
          <w:rPr>
            <w:rStyle w:val="Hyperlink"/>
            <w:rFonts w:eastAsia="Times New Roman"/>
          </w:rPr>
          <w:t>Privacy Act</w:t>
        </w:r>
      </w:hyperlink>
      <w:bookmarkStart w:id="2" w:name="P40_3633"/>
      <w:bookmarkEnd w:id="2"/>
      <w:r>
        <w:rPr>
          <w:rFonts w:eastAsia="Times New Roman"/>
        </w:rPr>
        <w:t> of 1974 (5 U.S.C. 552a) regulates the Federal Government’s collection, use, maintenance, and dissemination of information about individuals.</w:t>
      </w:r>
    </w:p>
    <w:p w:rsidR="00000000" w:rsidRDefault="00FB00F4">
      <w:pPr>
        <w:numPr>
          <w:ilvl w:val="0"/>
          <w:numId w:val="3"/>
        </w:numPr>
        <w:spacing w:before="100" w:beforeAutospacing="1" w:after="100" w:afterAutospacing="1"/>
        <w:divId w:val="1298756748"/>
        <w:rPr>
          <w:rFonts w:eastAsia="Times New Roman"/>
        </w:rPr>
      </w:pPr>
      <w:r>
        <w:rPr>
          <w:rFonts w:eastAsia="Times New Roman"/>
        </w:rPr>
        <w:t>Section 208 of the</w:t>
      </w:r>
      <w:r>
        <w:rPr>
          <w:rFonts w:eastAsia="Times New Roman"/>
        </w:rPr>
        <w:t> </w:t>
      </w:r>
      <w:bookmarkStart w:id="3" w:name="P42_3800"/>
      <w:r>
        <w:rPr>
          <w:rFonts w:eastAsia="Times New Roman"/>
        </w:rPr>
        <w:fldChar w:fldCharType="begin"/>
      </w:r>
      <w:r>
        <w:rPr>
          <w:rFonts w:eastAsia="Times New Roman"/>
        </w:rPr>
        <w:instrText xml:space="preserve"> </w:instrText>
      </w:r>
      <w:r>
        <w:rPr>
          <w:rFonts w:eastAsia="Times New Roman"/>
        </w:rPr>
        <w:instrText>HYPERLINK "http://frwebgate.access.gpo.gov/cgi-bin/getdoc.cgi?dbname=107_cong_public_laws&amp;docid</w:instrText>
      </w:r>
      <w:r>
        <w:rPr>
          <w:rFonts w:eastAsia="Times New Roman"/>
        </w:rPr>
        <w:instrText>=f:publ347.107.pdf" \t "_top"</w:instrText>
      </w:r>
      <w:r>
        <w:rPr>
          <w:rFonts w:eastAsia="Times New Roman"/>
        </w:rPr>
        <w:instrText xml:space="preserve"> </w:instrText>
      </w:r>
      <w:r>
        <w:rPr>
          <w:rFonts w:eastAsia="Times New Roman"/>
        </w:rPr>
        <w:fldChar w:fldCharType="separate"/>
      </w:r>
      <w:r>
        <w:rPr>
          <w:rStyle w:val="Hyperlink"/>
          <w:rFonts w:eastAsia="Times New Roman"/>
        </w:rPr>
        <w:t>E-Government Act of 2002</w:t>
      </w:r>
      <w:r>
        <w:rPr>
          <w:rFonts w:eastAsia="Times New Roman"/>
        </w:rPr>
        <w:fldChar w:fldCharType="end"/>
      </w:r>
      <w:bookmarkStart w:id="4" w:name="P42_3824"/>
      <w:bookmarkEnd w:id="3"/>
      <w:bookmarkEnd w:id="4"/>
      <w:r>
        <w:rPr>
          <w:rFonts w:eastAsia="Times New Roman"/>
        </w:rPr>
        <w:t> (44 U.S.C. 3601 </w:t>
      </w:r>
      <w:r>
        <w:rPr>
          <w:rStyle w:val="Emphasis"/>
          <w:rFonts w:eastAsia="Times New Roman"/>
        </w:rPr>
        <w:t>et seq</w:t>
      </w:r>
      <w:r>
        <w:rPr>
          <w:rFonts w:eastAsia="Times New Roman"/>
        </w:rPr>
        <w:t>.) establishes procedures to ensure the privacy of personal information in electronic records.</w:t>
      </w:r>
    </w:p>
    <w:p w:rsidR="00000000" w:rsidRDefault="00FB00F4">
      <w:pPr>
        <w:numPr>
          <w:ilvl w:val="0"/>
          <w:numId w:val="3"/>
        </w:numPr>
        <w:spacing w:before="100" w:beforeAutospacing="1" w:after="100" w:afterAutospacing="1"/>
        <w:divId w:val="1298756748"/>
        <w:rPr>
          <w:rFonts w:eastAsia="Times New Roman"/>
        </w:rPr>
      </w:pPr>
      <w:r>
        <w:rPr>
          <w:rFonts w:eastAsia="Times New Roman"/>
        </w:rPr>
        <w:t>The </w:t>
      </w:r>
      <w:hyperlink r:id="rId15" w:tgtFrame="_top" w:history="1">
        <w:r>
          <w:rPr>
            <w:rStyle w:val="Hyperlink"/>
            <w:rFonts w:eastAsia="Times New Roman"/>
          </w:rPr>
          <w:t>Paperwork Reduction Act (PRA) of 1995</w:t>
        </w:r>
      </w:hyperlink>
      <w:bookmarkStart w:id="5" w:name="P44_3988"/>
      <w:bookmarkEnd w:id="5"/>
      <w:r>
        <w:rPr>
          <w:rFonts w:eastAsia="Times New Roman"/>
        </w:rPr>
        <w:t> (44 U.S.C. 3501 </w:t>
      </w:r>
      <w:r>
        <w:rPr>
          <w:rStyle w:val="Emphasis"/>
          <w:rFonts w:eastAsia="Times New Roman"/>
        </w:rPr>
        <w:t>et seq</w:t>
      </w:r>
      <w:r>
        <w:rPr>
          <w:rFonts w:eastAsia="Times New Roman"/>
        </w:rPr>
        <w:t>.) is designed to reduce the public’s burden of answering unnecessary, duplicative, and burdensome government surveys.</w:t>
      </w:r>
    </w:p>
    <w:p w:rsidR="00000000" w:rsidRDefault="00FB00F4">
      <w:pPr>
        <w:numPr>
          <w:ilvl w:val="0"/>
          <w:numId w:val="3"/>
        </w:numPr>
        <w:spacing w:before="100" w:beforeAutospacing="1" w:after="100" w:afterAutospacing="1"/>
        <w:divId w:val="1298756748"/>
        <w:rPr>
          <w:rFonts w:eastAsia="Times New Roman"/>
        </w:rPr>
      </w:pPr>
      <w:r>
        <w:rPr>
          <w:rFonts w:eastAsia="Times New Roman"/>
        </w:rPr>
        <w:t>The</w:t>
      </w:r>
      <w:r>
        <w:rPr>
          <w:rFonts w:eastAsia="Times New Roman"/>
        </w:rPr>
        <w:t> </w:t>
      </w:r>
      <w:bookmarkStart w:id="6" w:name="P46_4140"/>
      <w:r>
        <w:rPr>
          <w:rFonts w:eastAsia="Times New Roman"/>
        </w:rPr>
        <w:fldChar w:fldCharType="begin"/>
      </w:r>
      <w:r>
        <w:rPr>
          <w:rFonts w:eastAsia="Times New Roman"/>
        </w:rPr>
        <w:instrText xml:space="preserve"> </w:instrText>
      </w:r>
      <w:r>
        <w:rPr>
          <w:rFonts w:eastAsia="Times New Roman"/>
        </w:rPr>
        <w:instrText>HYPERLINK "http://uscode.house.gov/uscode-cgi/fastweb.exe?ge</w:instrText>
      </w:r>
      <w:r>
        <w:rPr>
          <w:rFonts w:eastAsia="Times New Roman"/>
        </w:rPr>
        <w:instrText>tdoc+uscview+t17t20+868+1++%28%29%20%20AND%20%28%2818%29%20ADJ%20USC%29%3ACITE%20AND%20%28USC%20w%2F10%20%281905%29%29%3ACITE%20%20%20%20%20%20%20%20%20" \t "_top"</w:instrText>
      </w:r>
      <w:r>
        <w:rPr>
          <w:rFonts w:eastAsia="Times New Roman"/>
        </w:rPr>
        <w:instrText xml:space="preserve"> </w:instrText>
      </w:r>
      <w:r>
        <w:rPr>
          <w:rFonts w:eastAsia="Times New Roman"/>
        </w:rPr>
        <w:fldChar w:fldCharType="separate"/>
      </w:r>
      <w:r>
        <w:rPr>
          <w:rStyle w:val="Hyperlink"/>
          <w:rFonts w:eastAsia="Times New Roman"/>
        </w:rPr>
        <w:t>Trade Secrets Act</w:t>
      </w:r>
      <w:r>
        <w:rPr>
          <w:rFonts w:eastAsia="Times New Roman"/>
        </w:rPr>
        <w:fldChar w:fldCharType="end"/>
      </w:r>
      <w:bookmarkStart w:id="7" w:name="P46_4157"/>
      <w:bookmarkEnd w:id="6"/>
      <w:bookmarkEnd w:id="7"/>
      <w:r>
        <w:rPr>
          <w:rFonts w:eastAsia="Times New Roman"/>
        </w:rPr>
        <w:t> (18 U.S.C. 1905) provides criminal penalties for the theft of trade se</w:t>
      </w:r>
      <w:r>
        <w:rPr>
          <w:rFonts w:eastAsia="Times New Roman"/>
        </w:rPr>
        <w:t>crets and other business identifiable information.</w:t>
      </w:r>
    </w:p>
    <w:p w:rsidR="00000000" w:rsidRDefault="00FB00F4">
      <w:pPr>
        <w:numPr>
          <w:ilvl w:val="0"/>
          <w:numId w:val="3"/>
        </w:numPr>
        <w:spacing w:before="100" w:beforeAutospacing="1" w:after="100" w:afterAutospacing="1"/>
        <w:divId w:val="1298756748"/>
        <w:rPr>
          <w:rFonts w:eastAsia="Times New Roman"/>
        </w:rPr>
      </w:pPr>
      <w:r>
        <w:rPr>
          <w:rFonts w:eastAsia="Times New Roman"/>
        </w:rPr>
        <w:t>The </w:t>
      </w:r>
      <w:hyperlink r:id="rId16" w:tgtFrame="_top" w:history="1">
        <w:r>
          <w:rPr>
            <w:rStyle w:val="Hyperlink"/>
            <w:rFonts w:eastAsia="Times New Roman"/>
          </w:rPr>
          <w:t>Children’s Online Privacy Protection Act of 1998</w:t>
        </w:r>
      </w:hyperlink>
      <w:bookmarkStart w:id="8" w:name="P48_4336"/>
      <w:bookmarkEnd w:id="8"/>
      <w:r>
        <w:rPr>
          <w:rFonts w:eastAsia="Times New Roman"/>
        </w:rPr>
        <w:t> (15 U.S.C. 6501-06) regulates the online collection and use of personal information provided by and relating to children under the age of 13.</w:t>
      </w:r>
    </w:p>
    <w:p w:rsidR="00000000" w:rsidRDefault="00FB00F4">
      <w:pPr>
        <w:numPr>
          <w:ilvl w:val="0"/>
          <w:numId w:val="3"/>
        </w:numPr>
        <w:spacing w:before="100" w:beforeAutospacing="1" w:after="100" w:afterAutospacing="1"/>
        <w:divId w:val="1298756748"/>
        <w:rPr>
          <w:rFonts w:eastAsia="Times New Roman"/>
        </w:rPr>
      </w:pPr>
      <w:hyperlink r:id="rId17" w:tgtFrame="_top" w:history="1">
        <w:r>
          <w:rPr>
            <w:rStyle w:val="Hyperlink"/>
            <w:rFonts w:eastAsia="Times New Roman"/>
          </w:rPr>
          <w:t>OMB Circular A-130</w:t>
        </w:r>
      </w:hyperlink>
      <w:bookmarkStart w:id="9" w:name="P50_4500"/>
      <w:bookmarkEnd w:id="9"/>
      <w:r>
        <w:rPr>
          <w:rFonts w:eastAsia="Times New Roman"/>
        </w:rPr>
        <w:t>, “Manag</w:t>
      </w:r>
      <w:r>
        <w:rPr>
          <w:rFonts w:eastAsia="Times New Roman"/>
        </w:rPr>
        <w:t>ement of Federal Information Resources,” establishes a policy for the management of Federal information resources, including automated information systems.</w:t>
      </w:r>
    </w:p>
    <w:p w:rsidR="00000000" w:rsidRDefault="00FB00F4">
      <w:pPr>
        <w:numPr>
          <w:ilvl w:val="0"/>
          <w:numId w:val="3"/>
        </w:numPr>
        <w:spacing w:before="100" w:beforeAutospacing="1" w:after="100" w:afterAutospacing="1"/>
        <w:divId w:val="1298756748"/>
        <w:rPr>
          <w:rFonts w:eastAsia="Times New Roman"/>
        </w:rPr>
      </w:pPr>
      <w:hyperlink r:id="rId18" w:tgtFrame="_top" w:history="1">
        <w:r>
          <w:rPr>
            <w:rStyle w:val="Hyperlink"/>
            <w:rFonts w:eastAsia="Times New Roman"/>
          </w:rPr>
          <w:t>OMB Memorandum M-03-22</w:t>
        </w:r>
      </w:hyperlink>
      <w:bookmarkStart w:id="10" w:name="P52_4694"/>
      <w:bookmarkEnd w:id="10"/>
      <w:r>
        <w:rPr>
          <w:rFonts w:eastAsia="Times New Roman"/>
        </w:rPr>
        <w:t>, OMB Guidance for Implementing the Privacy Provisions of the E-Government Act of 2002, September 26, 2003, provides specific guidance to agencies for implementing Section 208 of the E-Government Act.</w:t>
      </w:r>
    </w:p>
    <w:p w:rsidR="00000000" w:rsidRDefault="00FB00F4">
      <w:pPr>
        <w:numPr>
          <w:ilvl w:val="0"/>
          <w:numId w:val="3"/>
        </w:numPr>
        <w:spacing w:before="100" w:beforeAutospacing="1" w:after="100" w:afterAutospacing="1"/>
        <w:divId w:val="1298756748"/>
        <w:rPr>
          <w:rFonts w:eastAsia="Times New Roman"/>
        </w:rPr>
      </w:pPr>
      <w:hyperlink r:id="rId19" w:tgtFrame="_top" w:history="1">
        <w:r>
          <w:rPr>
            <w:rStyle w:val="Hyperlink"/>
            <w:rFonts w:eastAsia="Times New Roman"/>
          </w:rPr>
          <w:t>OMB Memorandum M-07-16</w:t>
        </w:r>
      </w:hyperlink>
      <w:bookmarkStart w:id="11" w:name="P54_4920"/>
      <w:bookmarkEnd w:id="11"/>
      <w:r>
        <w:rPr>
          <w:rFonts w:eastAsia="Times New Roman"/>
        </w:rPr>
        <w:t>, Safeguarding Against and Responding to the Breach of Personally Identifiable Information, establishes requirements to review and reduce the volume of PII; eliminate the unnecessary use of social security</w:t>
      </w:r>
      <w:r>
        <w:rPr>
          <w:rFonts w:eastAsia="Times New Roman"/>
        </w:rPr>
        <w:t xml:space="preserve"> numbers (SSN); and log all computer-readable data extracts from databases holding sensitive information and verify each extract, including whether sensitive data has been erased within 90 days or its use is still required (pages 6-8).</w:t>
      </w:r>
    </w:p>
    <w:p w:rsidR="00000000" w:rsidRDefault="00FB00F4">
      <w:pPr>
        <w:numPr>
          <w:ilvl w:val="0"/>
          <w:numId w:val="3"/>
        </w:numPr>
        <w:spacing w:before="100" w:beforeAutospacing="1" w:after="100" w:afterAutospacing="1"/>
        <w:divId w:val="1298756748"/>
        <w:rPr>
          <w:rFonts w:eastAsia="Times New Roman"/>
        </w:rPr>
      </w:pPr>
      <w:hyperlink r:id="rId20" w:tgtFrame="_top" w:history="1">
        <w:r>
          <w:rPr>
            <w:rStyle w:val="Hyperlink"/>
            <w:rFonts w:eastAsia="Times New Roman"/>
          </w:rPr>
          <w:t>OMB Memorandum M-06-16</w:t>
        </w:r>
      </w:hyperlink>
      <w:bookmarkStart w:id="12" w:name="P56_5386"/>
      <w:bookmarkEnd w:id="12"/>
      <w:r>
        <w:rPr>
          <w:rFonts w:eastAsia="Times New Roman"/>
        </w:rPr>
        <w:t>, Protection of Agency Sensitive Information, provides guidance for encrypting sensitive data on mobile computers and devices; allowing remote access only with two-factor</w:t>
      </w:r>
      <w:r>
        <w:rPr>
          <w:rFonts w:eastAsia="Times New Roman"/>
        </w:rPr>
        <w:t xml:space="preserve"> authentication; using a time-out function for remote access; and logging all computer-readable data extracts from databases holding sensitive information and verify each extract including sensitive data has been erased within 90 days or its use is still r</w:t>
      </w:r>
      <w:r>
        <w:rPr>
          <w:rFonts w:eastAsia="Times New Roman"/>
        </w:rPr>
        <w:t>equired.</w:t>
      </w:r>
    </w:p>
    <w:p w:rsidR="00000000" w:rsidRDefault="00FB00F4">
      <w:pPr>
        <w:numPr>
          <w:ilvl w:val="0"/>
          <w:numId w:val="3"/>
        </w:numPr>
        <w:spacing w:before="100" w:beforeAutospacing="1" w:after="100" w:afterAutospacing="1"/>
        <w:divId w:val="1298756748"/>
        <w:rPr>
          <w:rFonts w:eastAsia="Times New Roman"/>
        </w:rPr>
      </w:pPr>
      <w:hyperlink r:id="rId21" w:tgtFrame="_top" w:history="1">
        <w:r>
          <w:rPr>
            <w:rStyle w:val="Hyperlink"/>
            <w:rFonts w:eastAsia="Times New Roman"/>
          </w:rPr>
          <w:t>OMB Memorandum M-06-15</w:t>
        </w:r>
      </w:hyperlink>
      <w:bookmarkStart w:id="13" w:name="P58_5847"/>
      <w:bookmarkEnd w:id="13"/>
      <w:r>
        <w:rPr>
          <w:rFonts w:eastAsia="Times New Roman"/>
        </w:rPr>
        <w:t>, Safeguarding Personally Identifiable Information, requires that agencies conduct a review of their policies and processes, and take correc</w:t>
      </w:r>
      <w:r>
        <w:rPr>
          <w:rFonts w:eastAsia="Times New Roman"/>
        </w:rPr>
        <w:t>tive action as appropriate to ensure adequate safeguards to prevent the intentional or negligent misuse of, or unauthorized access to, personally identifiable information.</w:t>
      </w:r>
    </w:p>
    <w:p w:rsidR="00000000" w:rsidRDefault="00FB00F4">
      <w:pPr>
        <w:pStyle w:val="Heading2"/>
        <w:divId w:val="1298756748"/>
        <w:rPr>
          <w:rFonts w:eastAsia="Times New Roman"/>
        </w:rPr>
      </w:pPr>
      <w:r>
        <w:rPr>
          <w:rFonts w:eastAsia="Times New Roman"/>
        </w:rPr>
        <w:t xml:space="preserve">Questions and Comments </w:t>
      </w:r>
    </w:p>
    <w:p w:rsidR="00000000" w:rsidRDefault="00FB00F4">
      <w:pPr>
        <w:pStyle w:val="NormalWeb"/>
        <w:divId w:val="1298756748"/>
      </w:pPr>
      <w:r>
        <w:t xml:space="preserve">Send Questions and Comments to </w:t>
      </w:r>
      <w:hyperlink r:id="rId22" w:history="1">
        <w:r>
          <w:rPr>
            <w:rStyle w:val="Hyperlink"/>
          </w:rPr>
          <w:t>CPO@doc.gov</w:t>
        </w:r>
      </w:hyperlink>
      <w:r>
        <w:t>.</w:t>
      </w:r>
      <w:bookmarkStart w:id="14" w:name="_GoBack"/>
      <w:bookmarkEnd w:id="14"/>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5E73"/>
    <w:multiLevelType w:val="multilevel"/>
    <w:tmpl w:val="6D38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66679"/>
    <w:multiLevelType w:val="multilevel"/>
    <w:tmpl w:val="0FC8B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557D2"/>
    <w:multiLevelType w:val="multilevel"/>
    <w:tmpl w:val="B454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41116"/>
    <w:multiLevelType w:val="multilevel"/>
    <w:tmpl w:val="4BDC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B2E5C"/>
    <w:multiLevelType w:val="multilevel"/>
    <w:tmpl w:val="91E8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8954CD"/>
    <w:multiLevelType w:val="multilevel"/>
    <w:tmpl w:val="FA22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95189E"/>
    <w:multiLevelType w:val="multilevel"/>
    <w:tmpl w:val="47CA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B00F4"/>
    <w:rsid w:val="00FB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currentbc">
    <w:name w:val="currentb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FB00F4"/>
    <w:rPr>
      <w:rFonts w:ascii="Tahoma" w:hAnsi="Tahoma" w:cs="Tahoma"/>
      <w:sz w:val="16"/>
      <w:szCs w:val="16"/>
    </w:rPr>
  </w:style>
  <w:style w:type="character" w:customStyle="1" w:styleId="BalloonTextChar">
    <w:name w:val="Balloon Text Char"/>
    <w:basedOn w:val="DefaultParagraphFont"/>
    <w:link w:val="BalloonText"/>
    <w:uiPriority w:val="99"/>
    <w:semiHidden/>
    <w:rsid w:val="00FB00F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currentbc">
    <w:name w:val="currentb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FB00F4"/>
    <w:rPr>
      <w:rFonts w:ascii="Tahoma" w:hAnsi="Tahoma" w:cs="Tahoma"/>
      <w:sz w:val="16"/>
      <w:szCs w:val="16"/>
    </w:rPr>
  </w:style>
  <w:style w:type="character" w:customStyle="1" w:styleId="BalloonTextChar">
    <w:name w:val="Balloon Text Char"/>
    <w:basedOn w:val="DefaultParagraphFont"/>
    <w:link w:val="BalloonText"/>
    <w:uiPriority w:val="99"/>
    <w:semiHidden/>
    <w:rsid w:val="00FB00F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063653">
      <w:marLeft w:val="0"/>
      <w:marRight w:val="0"/>
      <w:marTop w:val="0"/>
      <w:marBottom w:val="0"/>
      <w:divBdr>
        <w:top w:val="none" w:sz="0" w:space="0" w:color="auto"/>
        <w:left w:val="none" w:sz="0" w:space="0" w:color="auto"/>
        <w:bottom w:val="none" w:sz="0" w:space="0" w:color="auto"/>
        <w:right w:val="none" w:sz="0" w:space="0" w:color="auto"/>
      </w:divBdr>
      <w:divsChild>
        <w:div w:id="1459958458">
          <w:marLeft w:val="0"/>
          <w:marRight w:val="0"/>
          <w:marTop w:val="0"/>
          <w:marBottom w:val="0"/>
          <w:divBdr>
            <w:top w:val="none" w:sz="0" w:space="0" w:color="auto"/>
            <w:left w:val="none" w:sz="0" w:space="0" w:color="auto"/>
            <w:bottom w:val="none" w:sz="0" w:space="0" w:color="auto"/>
            <w:right w:val="none" w:sz="0" w:space="0" w:color="auto"/>
          </w:divBdr>
          <w:divsChild>
            <w:div w:id="1738630180">
              <w:marLeft w:val="0"/>
              <w:marRight w:val="0"/>
              <w:marTop w:val="0"/>
              <w:marBottom w:val="0"/>
              <w:divBdr>
                <w:top w:val="none" w:sz="0" w:space="0" w:color="auto"/>
                <w:left w:val="none" w:sz="0" w:space="0" w:color="auto"/>
                <w:bottom w:val="none" w:sz="0" w:space="0" w:color="auto"/>
                <w:right w:val="none" w:sz="0" w:space="0" w:color="auto"/>
              </w:divBdr>
            </w:div>
            <w:div w:id="1833598006">
              <w:marLeft w:val="0"/>
              <w:marRight w:val="0"/>
              <w:marTop w:val="0"/>
              <w:marBottom w:val="0"/>
              <w:divBdr>
                <w:top w:val="none" w:sz="0" w:space="0" w:color="auto"/>
                <w:left w:val="none" w:sz="0" w:space="0" w:color="auto"/>
                <w:bottom w:val="none" w:sz="0" w:space="0" w:color="auto"/>
                <w:right w:val="none" w:sz="0" w:space="0" w:color="auto"/>
              </w:divBdr>
            </w:div>
          </w:divsChild>
        </w:div>
        <w:div w:id="372924645">
          <w:marLeft w:val="0"/>
          <w:marRight w:val="0"/>
          <w:marTop w:val="0"/>
          <w:marBottom w:val="0"/>
          <w:divBdr>
            <w:top w:val="none" w:sz="0" w:space="0" w:color="auto"/>
            <w:left w:val="none" w:sz="0" w:space="0" w:color="auto"/>
            <w:bottom w:val="none" w:sz="0" w:space="0" w:color="auto"/>
            <w:right w:val="none" w:sz="0" w:space="0" w:color="auto"/>
          </w:divBdr>
        </w:div>
        <w:div w:id="19816997">
          <w:marLeft w:val="0"/>
          <w:marRight w:val="0"/>
          <w:marTop w:val="0"/>
          <w:marBottom w:val="0"/>
          <w:divBdr>
            <w:top w:val="none" w:sz="0" w:space="0" w:color="auto"/>
            <w:left w:val="none" w:sz="0" w:space="0" w:color="auto"/>
            <w:bottom w:val="none" w:sz="0" w:space="0" w:color="auto"/>
            <w:right w:val="none" w:sz="0" w:space="0" w:color="auto"/>
          </w:divBdr>
          <w:divsChild>
            <w:div w:id="1462914868">
              <w:marLeft w:val="0"/>
              <w:marRight w:val="0"/>
              <w:marTop w:val="0"/>
              <w:marBottom w:val="0"/>
              <w:divBdr>
                <w:top w:val="none" w:sz="0" w:space="0" w:color="auto"/>
                <w:left w:val="none" w:sz="0" w:space="0" w:color="auto"/>
                <w:bottom w:val="none" w:sz="0" w:space="0" w:color="auto"/>
                <w:right w:val="none" w:sz="0" w:space="0" w:color="auto"/>
              </w:divBdr>
              <w:divsChild>
                <w:div w:id="1240018380">
                  <w:marLeft w:val="0"/>
                  <w:marRight w:val="0"/>
                  <w:marTop w:val="0"/>
                  <w:marBottom w:val="0"/>
                  <w:divBdr>
                    <w:top w:val="none" w:sz="0" w:space="0" w:color="auto"/>
                    <w:left w:val="none" w:sz="0" w:space="0" w:color="auto"/>
                    <w:bottom w:val="none" w:sz="0" w:space="0" w:color="auto"/>
                    <w:right w:val="none" w:sz="0" w:space="0" w:color="auto"/>
                  </w:divBdr>
                </w:div>
                <w:div w:id="2139954502">
                  <w:marLeft w:val="0"/>
                  <w:marRight w:val="0"/>
                  <w:marTop w:val="0"/>
                  <w:marBottom w:val="0"/>
                  <w:divBdr>
                    <w:top w:val="none" w:sz="0" w:space="0" w:color="auto"/>
                    <w:left w:val="none" w:sz="0" w:space="0" w:color="auto"/>
                    <w:bottom w:val="none" w:sz="0" w:space="0" w:color="auto"/>
                    <w:right w:val="none" w:sz="0" w:space="0" w:color="auto"/>
                  </w:divBdr>
                </w:div>
                <w:div w:id="1298756748">
                  <w:marLeft w:val="0"/>
                  <w:marRight w:val="0"/>
                  <w:marTop w:val="0"/>
                  <w:marBottom w:val="0"/>
                  <w:divBdr>
                    <w:top w:val="none" w:sz="0" w:space="0" w:color="auto"/>
                    <w:left w:val="none" w:sz="0" w:space="0" w:color="auto"/>
                    <w:bottom w:val="none" w:sz="0" w:space="0" w:color="auto"/>
                    <w:right w:val="none" w:sz="0" w:space="0" w:color="auto"/>
                  </w:divBdr>
                </w:div>
                <w:div w:id="1344700010">
                  <w:marLeft w:val="0"/>
                  <w:marRight w:val="0"/>
                  <w:marTop w:val="0"/>
                  <w:marBottom w:val="0"/>
                  <w:divBdr>
                    <w:top w:val="none" w:sz="0" w:space="0" w:color="auto"/>
                    <w:left w:val="none" w:sz="0" w:space="0" w:color="auto"/>
                    <w:bottom w:val="none" w:sz="0" w:space="0" w:color="auto"/>
                    <w:right w:val="none" w:sz="0" w:space="0" w:color="auto"/>
                  </w:divBdr>
                </w:div>
              </w:divsChild>
            </w:div>
            <w:div w:id="1697461825">
              <w:marLeft w:val="0"/>
              <w:marRight w:val="0"/>
              <w:marTop w:val="0"/>
              <w:marBottom w:val="0"/>
              <w:divBdr>
                <w:top w:val="none" w:sz="0" w:space="0" w:color="auto"/>
                <w:left w:val="none" w:sz="0" w:space="0" w:color="auto"/>
                <w:bottom w:val="none" w:sz="0" w:space="0" w:color="auto"/>
                <w:right w:val="none" w:sz="0" w:space="0" w:color="auto"/>
              </w:divBdr>
              <w:divsChild>
                <w:div w:id="221529283">
                  <w:marLeft w:val="0"/>
                  <w:marRight w:val="0"/>
                  <w:marTop w:val="0"/>
                  <w:marBottom w:val="0"/>
                  <w:divBdr>
                    <w:top w:val="none" w:sz="0" w:space="0" w:color="auto"/>
                    <w:left w:val="none" w:sz="0" w:space="0" w:color="auto"/>
                    <w:bottom w:val="none" w:sz="0" w:space="0" w:color="auto"/>
                    <w:right w:val="none" w:sz="0" w:space="0" w:color="auto"/>
                  </w:divBdr>
                </w:div>
                <w:div w:id="2044668454">
                  <w:marLeft w:val="0"/>
                  <w:marRight w:val="0"/>
                  <w:marTop w:val="0"/>
                  <w:marBottom w:val="0"/>
                  <w:divBdr>
                    <w:top w:val="none" w:sz="0" w:space="0" w:color="auto"/>
                    <w:left w:val="none" w:sz="0" w:space="0" w:color="auto"/>
                    <w:bottom w:val="none" w:sz="0" w:space="0" w:color="auto"/>
                    <w:right w:val="none" w:sz="0" w:space="0" w:color="auto"/>
                  </w:divBdr>
                  <w:divsChild>
                    <w:div w:id="893583451">
                      <w:marLeft w:val="0"/>
                      <w:marRight w:val="0"/>
                      <w:marTop w:val="0"/>
                      <w:marBottom w:val="0"/>
                      <w:divBdr>
                        <w:top w:val="none" w:sz="0" w:space="0" w:color="auto"/>
                        <w:left w:val="none" w:sz="0" w:space="0" w:color="auto"/>
                        <w:bottom w:val="none" w:sz="0" w:space="0" w:color="auto"/>
                        <w:right w:val="none" w:sz="0" w:space="0" w:color="auto"/>
                      </w:divBdr>
                    </w:div>
                    <w:div w:id="664286702">
                      <w:marLeft w:val="0"/>
                      <w:marRight w:val="0"/>
                      <w:marTop w:val="0"/>
                      <w:marBottom w:val="0"/>
                      <w:divBdr>
                        <w:top w:val="none" w:sz="0" w:space="0" w:color="auto"/>
                        <w:left w:val="none" w:sz="0" w:space="0" w:color="auto"/>
                        <w:bottom w:val="none" w:sz="0" w:space="0" w:color="auto"/>
                        <w:right w:val="none" w:sz="0" w:space="0" w:color="auto"/>
                      </w:divBdr>
                    </w:div>
                  </w:divsChild>
                </w:div>
                <w:div w:id="130366288">
                  <w:marLeft w:val="0"/>
                  <w:marRight w:val="0"/>
                  <w:marTop w:val="0"/>
                  <w:marBottom w:val="0"/>
                  <w:divBdr>
                    <w:top w:val="none" w:sz="0" w:space="0" w:color="auto"/>
                    <w:left w:val="none" w:sz="0" w:space="0" w:color="auto"/>
                    <w:bottom w:val="none" w:sz="0" w:space="0" w:color="auto"/>
                    <w:right w:val="none" w:sz="0" w:space="0" w:color="auto"/>
                  </w:divBdr>
                </w:div>
                <w:div w:id="20172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943">
          <w:marLeft w:val="0"/>
          <w:marRight w:val="0"/>
          <w:marTop w:val="0"/>
          <w:marBottom w:val="0"/>
          <w:divBdr>
            <w:top w:val="none" w:sz="0" w:space="0" w:color="auto"/>
            <w:left w:val="none" w:sz="0" w:space="0" w:color="auto"/>
            <w:bottom w:val="none" w:sz="0" w:space="0" w:color="auto"/>
            <w:right w:val="none" w:sz="0" w:space="0" w:color="auto"/>
          </w:divBdr>
          <w:divsChild>
            <w:div w:id="1317685201">
              <w:marLeft w:val="0"/>
              <w:marRight w:val="0"/>
              <w:marTop w:val="0"/>
              <w:marBottom w:val="0"/>
              <w:divBdr>
                <w:top w:val="none" w:sz="0" w:space="0" w:color="auto"/>
                <w:left w:val="none" w:sz="0" w:space="0" w:color="auto"/>
                <w:bottom w:val="none" w:sz="0" w:space="0" w:color="auto"/>
                <w:right w:val="none" w:sz="0" w:space="0" w:color="auto"/>
              </w:divBdr>
            </w:div>
          </w:divsChild>
        </w:div>
        <w:div w:id="736245172">
          <w:marLeft w:val="0"/>
          <w:marRight w:val="0"/>
          <w:marTop w:val="0"/>
          <w:marBottom w:val="0"/>
          <w:divBdr>
            <w:top w:val="none" w:sz="0" w:space="0" w:color="auto"/>
            <w:left w:val="none" w:sz="0" w:space="0" w:color="auto"/>
            <w:bottom w:val="none" w:sz="0" w:space="0" w:color="auto"/>
            <w:right w:val="none" w:sz="0" w:space="0" w:color="auto"/>
          </w:divBdr>
        </w:div>
      </w:divsChild>
    </w:div>
    <w:div w:id="187862084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sites/default/files/omb/memoranda/fy2006/m-06-15.pdf" TargetMode="External"/><Relationship Id="rId13" Type="http://schemas.openxmlformats.org/officeDocument/2006/relationships/hyperlink" Target="https://www.whitehouse.gov/sites/default/files/omb/memoranda/2011/m11-02.pdf" TargetMode="External"/><Relationship Id="rId18" Type="http://schemas.openxmlformats.org/officeDocument/2006/relationships/hyperlink" Target="http://www.whitehouse.gov/omb/memoranda/m03-22.html" TargetMode="External"/><Relationship Id="rId3" Type="http://schemas.microsoft.com/office/2007/relationships/stylesWithEffects" Target="stylesWithEffects.xml"/><Relationship Id="rId21" Type="http://schemas.openxmlformats.org/officeDocument/2006/relationships/hyperlink" Target="http://www.whitehouse.gov/omb/memoranda/fy2006/m-06-15.pdf" TargetMode="External"/><Relationship Id="rId7" Type="http://schemas.openxmlformats.org/officeDocument/2006/relationships/hyperlink" Target="http://www.gpo.gov/fdsys/pkg/PLAW-107publ347/pdf/PLAW-107publ347.pdf" TargetMode="External"/><Relationship Id="rId12" Type="http://schemas.openxmlformats.org/officeDocument/2006/relationships/hyperlink" Target="https://www.whitehouse.gov/sites/default/files/omb/memoranda/fy2007/m07-16.pdf" TargetMode="External"/><Relationship Id="rId17" Type="http://schemas.openxmlformats.org/officeDocument/2006/relationships/hyperlink" Target="http://www.whitehouse.gov/omb/circulars/a130/a130trans4.html" TargetMode="External"/><Relationship Id="rId2" Type="http://schemas.openxmlformats.org/officeDocument/2006/relationships/styles" Target="styles.xml"/><Relationship Id="rId16" Type="http://schemas.openxmlformats.org/officeDocument/2006/relationships/hyperlink" Target="https://www.ftc.gov/enforcement/rules/rulemaking-regulatory-reform-proceedings/childrens-online-privacy-protection-rule" TargetMode="External"/><Relationship Id="rId20" Type="http://schemas.openxmlformats.org/officeDocument/2006/relationships/hyperlink" Target="http://www.whitehouse.gov/omb/memoranda/fy2006/m06-16.pdf" TargetMode="External"/><Relationship Id="rId1" Type="http://schemas.openxmlformats.org/officeDocument/2006/relationships/numbering" Target="numbering.xml"/><Relationship Id="rId6" Type="http://schemas.openxmlformats.org/officeDocument/2006/relationships/hyperlink" Target="http://www.justice.gov/opcl/privacy-act-1974" TargetMode="External"/><Relationship Id="rId11" Type="http://schemas.openxmlformats.org/officeDocument/2006/relationships/hyperlink" Target="https://www.whitehouse.gov/sites/default/files/omb/assets/omb/memoranda/fy2006/task_force_theft_memo.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io.gov/documents/paperwork_reduction_act_1995.html" TargetMode="External"/><Relationship Id="rId23" Type="http://schemas.openxmlformats.org/officeDocument/2006/relationships/fontTable" Target="fontTable.xml"/><Relationship Id="rId10" Type="http://schemas.openxmlformats.org/officeDocument/2006/relationships/hyperlink" Target="https://www.whitehouse.gov/sites/default/files/omb/memoranda/fy2006/m06-19.pdf" TargetMode="External"/><Relationship Id="rId19" Type="http://schemas.openxmlformats.org/officeDocument/2006/relationships/hyperlink" Target="http://www.whitehouse.gov/omb/memoranda/fy2007/m07-16.pdf" TargetMode="External"/><Relationship Id="rId4" Type="http://schemas.openxmlformats.org/officeDocument/2006/relationships/settings" Target="settings.xml"/><Relationship Id="rId9" Type="http://schemas.openxmlformats.org/officeDocument/2006/relationships/hyperlink" Target="https://www.whitehouse.gov/sites/default/files/omb/memoranda/fy2006/m06-16.pdf" TargetMode="External"/><Relationship Id="rId14" Type="http://schemas.openxmlformats.org/officeDocument/2006/relationships/hyperlink" Target="http://www.justice.gov/opcl/privstat.htm" TargetMode="External"/><Relationship Id="rId22" Type="http://schemas.openxmlformats.org/officeDocument/2006/relationships/hyperlink" Target="mailto:CPO@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776</Words>
  <Characters>6632</Characters>
  <Application>Microsoft Office Word</Application>
  <DocSecurity>0</DocSecurity>
  <Lines>55</Lines>
  <Paragraphs>14</Paragraphs>
  <ScaleCrop>false</ScaleCrop>
  <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Privacy Policy, Office of Privacy and Open Government, U.S. Department of Commerce</dc:title>
  <dc:creator>Hutcherson, Joey</dc:creator>
  <cp:lastModifiedBy>Hutcherson, Joey</cp:lastModifiedBy>
  <cp:revision>2</cp:revision>
  <dcterms:created xsi:type="dcterms:W3CDTF">2015-09-10T23:17:00Z</dcterms:created>
  <dcterms:modified xsi:type="dcterms:W3CDTF">2015-09-10T23:17:00Z</dcterms:modified>
</cp:coreProperties>
</file>