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980BA" w14:textId="77777777" w:rsidR="000155D0" w:rsidRPr="007D5468" w:rsidRDefault="000155D0" w:rsidP="000155D0">
      <w:p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Bureau Quarterly Data Call Response Template</w:t>
      </w:r>
    </w:p>
    <w:p w14:paraId="56DC1465" w14:textId="77777777" w:rsidR="000155D0" w:rsidRPr="007D5468" w:rsidRDefault="000155D0" w:rsidP="000155D0">
      <w:pPr>
        <w:autoSpaceDE w:val="0"/>
        <w:autoSpaceDN w:val="0"/>
        <w:adjustRightInd w:val="0"/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Compliance with Generally Accepted Accounting Principles (GAAP)</w:t>
      </w:r>
    </w:p>
    <w:p w14:paraId="540742B4" w14:textId="288A4440" w:rsidR="000155D0" w:rsidRPr="0093331C" w:rsidRDefault="000155D0" w:rsidP="000155D0">
      <w:pPr>
        <w:autoSpaceDE w:val="0"/>
        <w:autoSpaceDN w:val="0"/>
        <w:adjustRightInd w:val="0"/>
        <w:rPr>
          <w:b/>
          <w:iCs/>
          <w:color w:val="FF0000"/>
          <w:sz w:val="22"/>
          <w:szCs w:val="22"/>
        </w:rPr>
      </w:pPr>
      <w:r w:rsidRPr="0093331C">
        <w:rPr>
          <w:b/>
          <w:iCs/>
          <w:color w:val="FF0000"/>
          <w:sz w:val="22"/>
          <w:szCs w:val="22"/>
        </w:rPr>
        <w:t>Q</w:t>
      </w:r>
      <w:r w:rsidR="00431275">
        <w:rPr>
          <w:b/>
          <w:iCs/>
          <w:color w:val="FF0000"/>
          <w:sz w:val="22"/>
          <w:szCs w:val="22"/>
        </w:rPr>
        <w:t>1</w:t>
      </w:r>
      <w:r w:rsidR="00A80508">
        <w:rPr>
          <w:b/>
          <w:iCs/>
          <w:color w:val="FF0000"/>
          <w:sz w:val="22"/>
          <w:szCs w:val="22"/>
        </w:rPr>
        <w:t xml:space="preserve"> FY </w:t>
      </w:r>
      <w:r>
        <w:rPr>
          <w:b/>
          <w:iCs/>
          <w:color w:val="FF0000"/>
          <w:sz w:val="22"/>
          <w:szCs w:val="22"/>
        </w:rPr>
        <w:t>20</w:t>
      </w:r>
      <w:r w:rsidR="00431275">
        <w:rPr>
          <w:b/>
          <w:iCs/>
          <w:color w:val="FF0000"/>
          <w:sz w:val="22"/>
          <w:szCs w:val="22"/>
        </w:rPr>
        <w:t>20</w:t>
      </w:r>
    </w:p>
    <w:p w14:paraId="3596CF54" w14:textId="77777777" w:rsidR="000155D0" w:rsidRPr="007D5468" w:rsidRDefault="000155D0" w:rsidP="000155D0">
      <w:pPr>
        <w:autoSpaceDE w:val="0"/>
        <w:autoSpaceDN w:val="0"/>
        <w:adjustRightInd w:val="0"/>
        <w:rPr>
          <w:b/>
          <w:iCs/>
          <w:color w:val="000000"/>
          <w:sz w:val="22"/>
          <w:szCs w:val="22"/>
        </w:rPr>
      </w:pPr>
    </w:p>
    <w:p w14:paraId="759C9E7B" w14:textId="0FA8A9F7" w:rsidR="000155D0" w:rsidRPr="007D5468" w:rsidRDefault="000155D0" w:rsidP="000155D0">
      <w:p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 xml:space="preserve">(Response Due to OFM by COB </w:t>
      </w:r>
      <w:r w:rsidR="00431275">
        <w:rPr>
          <w:b/>
          <w:color w:val="FF0000"/>
          <w:sz w:val="22"/>
          <w:szCs w:val="22"/>
        </w:rPr>
        <w:t>Friday</w:t>
      </w:r>
      <w:r w:rsidR="00854297">
        <w:rPr>
          <w:b/>
          <w:color w:val="FF0000"/>
          <w:sz w:val="22"/>
          <w:szCs w:val="22"/>
        </w:rPr>
        <w:t>,</w:t>
      </w:r>
      <w:r w:rsidR="00737AAE">
        <w:rPr>
          <w:b/>
          <w:color w:val="FF0000"/>
          <w:sz w:val="22"/>
          <w:szCs w:val="22"/>
        </w:rPr>
        <w:t xml:space="preserve"> </w:t>
      </w:r>
      <w:r w:rsidR="00431275">
        <w:rPr>
          <w:b/>
          <w:color w:val="FF0000"/>
          <w:sz w:val="22"/>
          <w:szCs w:val="22"/>
        </w:rPr>
        <w:t>January</w:t>
      </w:r>
      <w:r w:rsidR="00737AAE">
        <w:rPr>
          <w:b/>
          <w:color w:val="FF0000"/>
          <w:sz w:val="22"/>
          <w:szCs w:val="22"/>
        </w:rPr>
        <w:t xml:space="preserve"> </w:t>
      </w:r>
      <w:r w:rsidR="00431275">
        <w:rPr>
          <w:b/>
          <w:color w:val="FF0000"/>
          <w:sz w:val="22"/>
          <w:szCs w:val="22"/>
        </w:rPr>
        <w:t>3</w:t>
      </w:r>
      <w:r w:rsidR="00737AAE">
        <w:rPr>
          <w:b/>
          <w:color w:val="FF0000"/>
          <w:sz w:val="22"/>
          <w:szCs w:val="22"/>
        </w:rPr>
        <w:t>,</w:t>
      </w:r>
      <w:r w:rsidR="00854297">
        <w:rPr>
          <w:b/>
          <w:color w:val="FF0000"/>
          <w:sz w:val="22"/>
          <w:szCs w:val="22"/>
        </w:rPr>
        <w:t xml:space="preserve"> 20</w:t>
      </w:r>
      <w:r w:rsidR="00431275">
        <w:rPr>
          <w:b/>
          <w:color w:val="FF0000"/>
          <w:sz w:val="22"/>
          <w:szCs w:val="22"/>
        </w:rPr>
        <w:t>20</w:t>
      </w:r>
      <w:r w:rsidRPr="007D5468">
        <w:rPr>
          <w:b/>
          <w:sz w:val="22"/>
          <w:szCs w:val="22"/>
        </w:rPr>
        <w:t>)</w:t>
      </w:r>
    </w:p>
    <w:p w14:paraId="1478D424" w14:textId="77777777" w:rsidR="000155D0" w:rsidRPr="007D5468" w:rsidRDefault="000155D0" w:rsidP="000155D0">
      <w:pPr>
        <w:rPr>
          <w:sz w:val="22"/>
          <w:szCs w:val="22"/>
        </w:rPr>
      </w:pPr>
    </w:p>
    <w:p w14:paraId="7A6F1B80" w14:textId="77777777" w:rsidR="000155D0" w:rsidRPr="007D5468" w:rsidRDefault="000155D0" w:rsidP="000155D0">
      <w:pPr>
        <w:rPr>
          <w:sz w:val="22"/>
          <w:szCs w:val="22"/>
        </w:rPr>
      </w:pPr>
      <w:r w:rsidRPr="007D5468">
        <w:rPr>
          <w:sz w:val="22"/>
          <w:szCs w:val="22"/>
        </w:rPr>
        <w:t xml:space="preserve">Bureau: </w:t>
      </w:r>
      <w:r w:rsidRPr="007D5468">
        <w:rPr>
          <w:sz w:val="22"/>
          <w:szCs w:val="22"/>
          <w:highlight w:val="yellow"/>
        </w:rPr>
        <w:t>__________________________</w:t>
      </w:r>
    </w:p>
    <w:p w14:paraId="137F0712" w14:textId="77777777" w:rsidR="000155D0" w:rsidRPr="007D5468" w:rsidRDefault="000155D0" w:rsidP="000155D0">
      <w:pPr>
        <w:rPr>
          <w:sz w:val="22"/>
          <w:szCs w:val="22"/>
        </w:rPr>
      </w:pPr>
      <w:r w:rsidRPr="007D5468">
        <w:rPr>
          <w:sz w:val="22"/>
          <w:szCs w:val="22"/>
        </w:rPr>
        <w:t xml:space="preserve">Prepared by: </w:t>
      </w:r>
      <w:r w:rsidRPr="007D5468">
        <w:rPr>
          <w:sz w:val="22"/>
          <w:szCs w:val="22"/>
          <w:highlight w:val="yellow"/>
        </w:rPr>
        <w:t>______________________</w:t>
      </w:r>
    </w:p>
    <w:p w14:paraId="0B3F03E6" w14:textId="77777777" w:rsidR="000155D0" w:rsidRPr="007D5468" w:rsidRDefault="000155D0" w:rsidP="000155D0">
      <w:pPr>
        <w:rPr>
          <w:sz w:val="22"/>
          <w:szCs w:val="22"/>
        </w:rPr>
      </w:pPr>
      <w:r w:rsidRPr="007D5468">
        <w:rPr>
          <w:sz w:val="22"/>
          <w:szCs w:val="22"/>
        </w:rPr>
        <w:t xml:space="preserve">Title: </w:t>
      </w:r>
      <w:r w:rsidRPr="007D5468">
        <w:rPr>
          <w:sz w:val="22"/>
          <w:szCs w:val="22"/>
          <w:highlight w:val="yellow"/>
        </w:rPr>
        <w:t>____________________________</w:t>
      </w:r>
    </w:p>
    <w:p w14:paraId="0B85578A" w14:textId="77777777" w:rsidR="000155D0" w:rsidRPr="007D5468" w:rsidRDefault="000155D0" w:rsidP="000155D0">
      <w:pPr>
        <w:rPr>
          <w:sz w:val="22"/>
          <w:szCs w:val="22"/>
        </w:rPr>
      </w:pPr>
      <w:r w:rsidRPr="007D5468">
        <w:rPr>
          <w:sz w:val="22"/>
          <w:szCs w:val="22"/>
        </w:rPr>
        <w:t xml:space="preserve">Phone Number: </w:t>
      </w:r>
      <w:r w:rsidRPr="007D5468">
        <w:rPr>
          <w:sz w:val="22"/>
          <w:szCs w:val="22"/>
          <w:highlight w:val="yellow"/>
        </w:rPr>
        <w:t>____________________</w:t>
      </w:r>
    </w:p>
    <w:p w14:paraId="157BF977" w14:textId="77777777" w:rsidR="000155D0" w:rsidRPr="007D5468" w:rsidRDefault="000155D0" w:rsidP="000155D0">
      <w:pPr>
        <w:rPr>
          <w:sz w:val="22"/>
          <w:szCs w:val="22"/>
        </w:rPr>
      </w:pPr>
      <w:r w:rsidRPr="007D5468">
        <w:rPr>
          <w:sz w:val="22"/>
          <w:szCs w:val="22"/>
        </w:rPr>
        <w:t xml:space="preserve">Email Address: </w:t>
      </w:r>
      <w:r w:rsidRPr="007D5468">
        <w:rPr>
          <w:sz w:val="22"/>
          <w:szCs w:val="22"/>
          <w:highlight w:val="yellow"/>
        </w:rPr>
        <w:t>____________________</w:t>
      </w:r>
    </w:p>
    <w:p w14:paraId="501E03C6" w14:textId="77777777" w:rsidR="000155D0" w:rsidRPr="007D5468" w:rsidRDefault="000155D0" w:rsidP="000155D0">
      <w:pPr>
        <w:rPr>
          <w:sz w:val="22"/>
          <w:szCs w:val="22"/>
        </w:rPr>
      </w:pPr>
      <w:r w:rsidRPr="007D5468">
        <w:rPr>
          <w:sz w:val="22"/>
          <w:szCs w:val="22"/>
        </w:rPr>
        <w:t xml:space="preserve">Date Prepared: </w:t>
      </w:r>
      <w:r w:rsidRPr="007D5468">
        <w:rPr>
          <w:sz w:val="22"/>
          <w:szCs w:val="22"/>
          <w:highlight w:val="yellow"/>
        </w:rPr>
        <w:t>_____________________</w:t>
      </w:r>
    </w:p>
    <w:p w14:paraId="2A83AFF4" w14:textId="77777777" w:rsidR="000155D0" w:rsidRPr="007D5468" w:rsidRDefault="004F3E85" w:rsidP="000155D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01E222" w14:textId="77777777" w:rsidR="000155D0" w:rsidRPr="007D5468" w:rsidRDefault="000155D0" w:rsidP="000155D0">
      <w:p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Background:</w:t>
      </w:r>
    </w:p>
    <w:p w14:paraId="784CF88E" w14:textId="77777777" w:rsidR="000155D0" w:rsidRPr="007D5468" w:rsidRDefault="000155D0" w:rsidP="000155D0">
      <w:pPr>
        <w:rPr>
          <w:sz w:val="22"/>
          <w:szCs w:val="22"/>
        </w:rPr>
      </w:pPr>
    </w:p>
    <w:p w14:paraId="3BE8675B" w14:textId="77777777" w:rsidR="000155D0" w:rsidRPr="007D5468" w:rsidRDefault="000155D0" w:rsidP="000155D0">
      <w:pPr>
        <w:rPr>
          <w:sz w:val="22"/>
          <w:szCs w:val="22"/>
        </w:rPr>
      </w:pPr>
      <w:r w:rsidRPr="007D5468">
        <w:rPr>
          <w:sz w:val="22"/>
          <w:szCs w:val="22"/>
        </w:rPr>
        <w:t>Bureaus are to provide OFM, ahead of the HFM open window</w:t>
      </w:r>
      <w:r w:rsidR="00E335C4">
        <w:rPr>
          <w:sz w:val="22"/>
          <w:szCs w:val="22"/>
        </w:rPr>
        <w:t xml:space="preserve"> period</w:t>
      </w:r>
      <w:r w:rsidRPr="007D5468">
        <w:rPr>
          <w:sz w:val="22"/>
          <w:szCs w:val="22"/>
        </w:rPr>
        <w:t>, with a completed questionnaire regarding compliance with Generally Accepted Accounting Principles (GAAP).</w:t>
      </w:r>
    </w:p>
    <w:p w14:paraId="5DD1ECFE" w14:textId="77777777" w:rsidR="000155D0" w:rsidRPr="007D5468" w:rsidRDefault="000155D0" w:rsidP="000155D0">
      <w:pPr>
        <w:rPr>
          <w:sz w:val="22"/>
          <w:szCs w:val="22"/>
        </w:rPr>
      </w:pPr>
    </w:p>
    <w:p w14:paraId="597DAB6E" w14:textId="77777777" w:rsidR="000155D0" w:rsidRPr="007D5468" w:rsidRDefault="000155D0" w:rsidP="000155D0">
      <w:p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Questions/Responses:</w:t>
      </w:r>
    </w:p>
    <w:p w14:paraId="45268F06" w14:textId="77777777" w:rsidR="000155D0" w:rsidRPr="007D5468" w:rsidRDefault="000155D0" w:rsidP="000155D0">
      <w:pPr>
        <w:rPr>
          <w:sz w:val="22"/>
          <w:szCs w:val="22"/>
        </w:rPr>
      </w:pPr>
    </w:p>
    <w:p w14:paraId="7349C0E1" w14:textId="457443EF" w:rsidR="000155D0" w:rsidRPr="007D5468" w:rsidRDefault="000155D0" w:rsidP="000155D0">
      <w:pPr>
        <w:numPr>
          <w:ilvl w:val="0"/>
          <w:numId w:val="1"/>
        </w:num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Provide listings of all non-GA</w:t>
      </w:r>
      <w:r w:rsidR="00CB74BC">
        <w:rPr>
          <w:b/>
          <w:sz w:val="22"/>
          <w:szCs w:val="22"/>
        </w:rPr>
        <w:t>AP policies and practices as of</w:t>
      </w:r>
      <w:r w:rsidR="00C00AC1">
        <w:rPr>
          <w:b/>
          <w:color w:val="FF0000"/>
          <w:sz w:val="22"/>
          <w:szCs w:val="22"/>
        </w:rPr>
        <w:t xml:space="preserve"> </w:t>
      </w:r>
      <w:r w:rsidR="00431275">
        <w:rPr>
          <w:b/>
          <w:color w:val="FF0000"/>
          <w:sz w:val="22"/>
          <w:szCs w:val="22"/>
        </w:rPr>
        <w:t>December 31</w:t>
      </w:r>
      <w:r w:rsidR="00737AAE">
        <w:rPr>
          <w:b/>
          <w:color w:val="FF0000"/>
          <w:sz w:val="22"/>
          <w:szCs w:val="22"/>
        </w:rPr>
        <w:t>, 2019</w:t>
      </w:r>
      <w:r w:rsidR="00E26D67">
        <w:rPr>
          <w:b/>
          <w:color w:val="FF0000"/>
          <w:sz w:val="22"/>
          <w:szCs w:val="22"/>
        </w:rPr>
        <w:t xml:space="preserve"> </w:t>
      </w:r>
      <w:r w:rsidRPr="007D5468">
        <w:rPr>
          <w:b/>
          <w:sz w:val="22"/>
          <w:szCs w:val="22"/>
        </w:rPr>
        <w:t>that management believes to be a) material; and b) immaterial.</w:t>
      </w:r>
    </w:p>
    <w:p w14:paraId="6F79608F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1E7A52A6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Response:</w:t>
      </w:r>
    </w:p>
    <w:p w14:paraId="55C17827" w14:textId="77777777" w:rsidR="000155D0" w:rsidRPr="007D5468" w:rsidRDefault="000155D0" w:rsidP="000155D0">
      <w:pPr>
        <w:ind w:left="360" w:firstLine="720"/>
        <w:rPr>
          <w:b/>
          <w:sz w:val="22"/>
          <w:szCs w:val="22"/>
        </w:rPr>
      </w:pPr>
    </w:p>
    <w:p w14:paraId="7A2B65CD" w14:textId="0EFDD1E0" w:rsidR="000155D0" w:rsidRPr="00222D43" w:rsidRDefault="000155D0" w:rsidP="000155D0">
      <w:pPr>
        <w:numPr>
          <w:ilvl w:val="0"/>
          <w:numId w:val="3"/>
        </w:numPr>
        <w:rPr>
          <w:b/>
          <w:sz w:val="22"/>
          <w:szCs w:val="22"/>
        </w:rPr>
      </w:pPr>
      <w:r w:rsidRPr="00222D43">
        <w:rPr>
          <w:b/>
          <w:sz w:val="22"/>
          <w:szCs w:val="22"/>
        </w:rPr>
        <w:t xml:space="preserve">Listing of Non-GAAP Policies and Practices as of </w:t>
      </w:r>
      <w:r w:rsidR="00431275">
        <w:rPr>
          <w:b/>
          <w:color w:val="FF0000"/>
          <w:sz w:val="22"/>
          <w:szCs w:val="22"/>
        </w:rPr>
        <w:t>December 31</w:t>
      </w:r>
      <w:r w:rsidR="00737AAE">
        <w:rPr>
          <w:b/>
          <w:color w:val="FF0000"/>
          <w:sz w:val="22"/>
          <w:szCs w:val="22"/>
        </w:rPr>
        <w:t>, 2019</w:t>
      </w:r>
      <w:r w:rsidR="003C7B6E">
        <w:rPr>
          <w:b/>
          <w:color w:val="FF0000"/>
          <w:sz w:val="22"/>
          <w:szCs w:val="22"/>
        </w:rPr>
        <w:t xml:space="preserve"> </w:t>
      </w:r>
      <w:r w:rsidRPr="00222D43">
        <w:rPr>
          <w:b/>
          <w:sz w:val="22"/>
          <w:szCs w:val="22"/>
        </w:rPr>
        <w:t>that Management Believes to be Material:</w:t>
      </w:r>
    </w:p>
    <w:p w14:paraId="6DED706B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  <w:r w:rsidRPr="007D5468">
        <w:rPr>
          <w:b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E97F4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6A1858CF" w14:textId="6FB0351E" w:rsidR="000155D0" w:rsidRPr="00222D43" w:rsidRDefault="000155D0" w:rsidP="000155D0">
      <w:pPr>
        <w:numPr>
          <w:ilvl w:val="0"/>
          <w:numId w:val="3"/>
        </w:numPr>
        <w:rPr>
          <w:b/>
          <w:sz w:val="22"/>
          <w:szCs w:val="22"/>
        </w:rPr>
      </w:pPr>
      <w:r w:rsidRPr="00222D43">
        <w:rPr>
          <w:b/>
          <w:sz w:val="22"/>
          <w:szCs w:val="22"/>
        </w:rPr>
        <w:t xml:space="preserve">Listing of Non-GAAP Policies and Practices as of </w:t>
      </w:r>
      <w:r w:rsidR="00431275">
        <w:rPr>
          <w:b/>
          <w:color w:val="FF0000"/>
          <w:sz w:val="22"/>
          <w:szCs w:val="22"/>
        </w:rPr>
        <w:t>December 31</w:t>
      </w:r>
      <w:r w:rsidR="00737AAE">
        <w:rPr>
          <w:b/>
          <w:color w:val="FF0000"/>
          <w:sz w:val="22"/>
          <w:szCs w:val="22"/>
        </w:rPr>
        <w:t xml:space="preserve">, 2019 </w:t>
      </w:r>
      <w:r w:rsidRPr="00222D43">
        <w:rPr>
          <w:b/>
          <w:sz w:val="22"/>
          <w:szCs w:val="22"/>
        </w:rPr>
        <w:t>that Management Believes to be Immaterial:</w:t>
      </w:r>
    </w:p>
    <w:p w14:paraId="4313EFFD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  <w:r w:rsidRPr="007D5468">
        <w:rPr>
          <w:b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EAA13D" w14:textId="77777777" w:rsidR="000155D0" w:rsidRPr="007D5468" w:rsidRDefault="000155D0" w:rsidP="000155D0">
      <w:pPr>
        <w:rPr>
          <w:b/>
          <w:sz w:val="22"/>
          <w:szCs w:val="22"/>
        </w:rPr>
      </w:pPr>
    </w:p>
    <w:p w14:paraId="3A388351" w14:textId="77777777" w:rsidR="000155D0" w:rsidRPr="007D5468" w:rsidRDefault="000155D0" w:rsidP="000155D0">
      <w:pPr>
        <w:rPr>
          <w:b/>
          <w:sz w:val="22"/>
          <w:szCs w:val="22"/>
        </w:rPr>
      </w:pPr>
    </w:p>
    <w:p w14:paraId="25129278" w14:textId="77777777" w:rsidR="000155D0" w:rsidRPr="007D5468" w:rsidRDefault="000155D0" w:rsidP="000155D0">
      <w:pPr>
        <w:rPr>
          <w:b/>
          <w:sz w:val="22"/>
          <w:szCs w:val="22"/>
        </w:rPr>
      </w:pPr>
    </w:p>
    <w:p w14:paraId="5489C97A" w14:textId="77777777" w:rsidR="000155D0" w:rsidRPr="007D5468" w:rsidRDefault="000155D0" w:rsidP="000155D0">
      <w:pPr>
        <w:rPr>
          <w:b/>
          <w:sz w:val="22"/>
          <w:szCs w:val="22"/>
        </w:rPr>
      </w:pPr>
    </w:p>
    <w:p w14:paraId="45033CE3" w14:textId="77777777" w:rsidR="000155D0" w:rsidRPr="007D5468" w:rsidRDefault="000155D0" w:rsidP="000155D0">
      <w:pPr>
        <w:rPr>
          <w:b/>
          <w:sz w:val="22"/>
          <w:szCs w:val="22"/>
        </w:rPr>
      </w:pPr>
    </w:p>
    <w:p w14:paraId="2843BC10" w14:textId="77777777" w:rsidR="000155D0" w:rsidRPr="007D5468" w:rsidRDefault="000155D0" w:rsidP="000155D0">
      <w:pPr>
        <w:numPr>
          <w:ilvl w:val="0"/>
          <w:numId w:val="1"/>
        </w:num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lastRenderedPageBreak/>
        <w:t xml:space="preserve">For </w:t>
      </w:r>
      <w:r w:rsidRPr="007D5468">
        <w:rPr>
          <w:b/>
          <w:sz w:val="22"/>
          <w:szCs w:val="22"/>
          <w:u w:val="single"/>
        </w:rPr>
        <w:t>each instance</w:t>
      </w:r>
      <w:r w:rsidRPr="007D5468">
        <w:rPr>
          <w:b/>
          <w:sz w:val="22"/>
          <w:szCs w:val="22"/>
        </w:rPr>
        <w:t xml:space="preserve"> of non-GAAP policy(s) and practice(s):</w:t>
      </w:r>
    </w:p>
    <w:p w14:paraId="4992855B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1512E235" w14:textId="0165A145" w:rsidR="000155D0" w:rsidRPr="007D5468" w:rsidRDefault="000155D0" w:rsidP="000155D0">
      <w:pPr>
        <w:numPr>
          <w:ilvl w:val="0"/>
          <w:numId w:val="2"/>
        </w:num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 xml:space="preserve">Provide an analysis to determine the dollar impact of the application of such instance of policy(s) and practice(s) on the </w:t>
      </w:r>
      <w:r w:rsidRPr="007D5468">
        <w:rPr>
          <w:b/>
          <w:sz w:val="22"/>
          <w:szCs w:val="22"/>
          <w:u w:val="single"/>
        </w:rPr>
        <w:t>current period</w:t>
      </w:r>
      <w:r w:rsidRPr="007D5468">
        <w:rPr>
          <w:b/>
          <w:sz w:val="22"/>
          <w:szCs w:val="22"/>
        </w:rPr>
        <w:t xml:space="preserve"> bureau financial statements.</w:t>
      </w:r>
      <w:r w:rsidR="0029089C">
        <w:rPr>
          <w:b/>
          <w:sz w:val="22"/>
          <w:szCs w:val="22"/>
        </w:rPr>
        <w:t xml:space="preserve">  </w:t>
      </w:r>
      <w:r w:rsidR="0029089C" w:rsidRPr="0029089C">
        <w:rPr>
          <w:b/>
          <w:color w:val="FF0000"/>
          <w:sz w:val="22"/>
          <w:szCs w:val="22"/>
        </w:rPr>
        <w:t xml:space="preserve">If an analysis </w:t>
      </w:r>
      <w:r w:rsidR="0029089C" w:rsidRPr="0029089C">
        <w:rPr>
          <w:b/>
          <w:color w:val="FF0000"/>
          <w:sz w:val="22"/>
          <w:szCs w:val="22"/>
        </w:rPr>
        <w:t>cannot</w:t>
      </w:r>
      <w:r w:rsidR="0029089C" w:rsidRPr="0029089C">
        <w:rPr>
          <w:b/>
          <w:color w:val="FF0000"/>
          <w:sz w:val="22"/>
          <w:szCs w:val="22"/>
        </w:rPr>
        <w:t xml:space="preserve"> be provided, please provide an explanation for why an analysis was not completed or the current status of the analysis if it is still in progress.</w:t>
      </w:r>
    </w:p>
    <w:p w14:paraId="107CBF2F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1CBF1CD5" w14:textId="77777777" w:rsidR="000155D0" w:rsidRPr="007D5468" w:rsidRDefault="000155D0" w:rsidP="000155D0">
      <w:pPr>
        <w:ind w:left="720" w:firstLine="360"/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Response (response can be an attachment, e.g., Excel spreadsheet):</w:t>
      </w:r>
    </w:p>
    <w:p w14:paraId="6AC1D80A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2989EE79" w14:textId="77777777" w:rsidR="000155D0" w:rsidRPr="007D5468" w:rsidRDefault="000155D0" w:rsidP="000155D0">
      <w:pPr>
        <w:ind w:left="1080"/>
        <w:rPr>
          <w:b/>
          <w:sz w:val="22"/>
          <w:szCs w:val="22"/>
        </w:rPr>
      </w:pPr>
      <w:r w:rsidRPr="007D5468">
        <w:rPr>
          <w:b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2B8E4E95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0D696D91" w14:textId="77777777" w:rsidR="000155D0" w:rsidRPr="007D5468" w:rsidRDefault="000155D0" w:rsidP="000155D0">
      <w:pPr>
        <w:numPr>
          <w:ilvl w:val="0"/>
          <w:numId w:val="2"/>
        </w:num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 xml:space="preserve">Provide an explanation of the bureau’s determination that the effect of such instance of policy(s) and practice(s) on the </w:t>
      </w:r>
      <w:r w:rsidRPr="007D5468">
        <w:rPr>
          <w:b/>
          <w:sz w:val="22"/>
          <w:szCs w:val="22"/>
          <w:u w:val="single"/>
        </w:rPr>
        <w:t>current period</w:t>
      </w:r>
      <w:r w:rsidRPr="007D5468">
        <w:rPr>
          <w:b/>
          <w:sz w:val="22"/>
          <w:szCs w:val="22"/>
        </w:rPr>
        <w:t xml:space="preserve"> bureau financial statements is material or immaterial.</w:t>
      </w:r>
    </w:p>
    <w:p w14:paraId="209D1970" w14:textId="77777777" w:rsidR="000155D0" w:rsidRPr="007D5468" w:rsidRDefault="000155D0" w:rsidP="000155D0">
      <w:pPr>
        <w:ind w:left="720" w:firstLine="360"/>
        <w:rPr>
          <w:b/>
          <w:sz w:val="22"/>
          <w:szCs w:val="22"/>
        </w:rPr>
      </w:pPr>
    </w:p>
    <w:p w14:paraId="45E59549" w14:textId="77777777" w:rsidR="000155D0" w:rsidRPr="007D5468" w:rsidRDefault="000155D0" w:rsidP="000155D0">
      <w:pPr>
        <w:ind w:left="720" w:firstLine="360"/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Response:</w:t>
      </w:r>
    </w:p>
    <w:p w14:paraId="139CE2D2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04B648D7" w14:textId="77777777" w:rsidR="000155D0" w:rsidRPr="007D5468" w:rsidRDefault="000155D0" w:rsidP="000155D0">
      <w:pPr>
        <w:ind w:left="1080"/>
        <w:rPr>
          <w:b/>
          <w:sz w:val="22"/>
          <w:szCs w:val="22"/>
        </w:rPr>
      </w:pPr>
      <w:r w:rsidRPr="007D5468">
        <w:rPr>
          <w:b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51C92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24F5FD49" w14:textId="32E89495" w:rsidR="000155D0" w:rsidRPr="007D5468" w:rsidRDefault="000155D0" w:rsidP="000155D0">
      <w:pPr>
        <w:numPr>
          <w:ilvl w:val="0"/>
          <w:numId w:val="2"/>
        </w:num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 xml:space="preserve">Provide an analysis to determine the dollar impact of the application of such instance of policy(s) and practice(s) on </w:t>
      </w:r>
      <w:r w:rsidRPr="007D5468">
        <w:rPr>
          <w:b/>
          <w:sz w:val="22"/>
          <w:szCs w:val="22"/>
          <w:u w:val="single"/>
        </w:rPr>
        <w:t>future periods’</w:t>
      </w:r>
      <w:r w:rsidRPr="007D5468">
        <w:rPr>
          <w:b/>
          <w:sz w:val="22"/>
          <w:szCs w:val="22"/>
        </w:rPr>
        <w:t xml:space="preserve"> bureau financial statements.</w:t>
      </w:r>
      <w:r w:rsidR="0029089C">
        <w:rPr>
          <w:b/>
          <w:sz w:val="22"/>
          <w:szCs w:val="22"/>
        </w:rPr>
        <w:t xml:space="preserve">  </w:t>
      </w:r>
      <w:r w:rsidR="0029089C" w:rsidRPr="0029089C">
        <w:rPr>
          <w:b/>
          <w:color w:val="FF0000"/>
          <w:sz w:val="22"/>
          <w:szCs w:val="22"/>
        </w:rPr>
        <w:t>If an analysis cannot be provided, please provide an explanation for why an analysis was not completed or the current status of the analysis if it is still in progress.</w:t>
      </w:r>
    </w:p>
    <w:p w14:paraId="0C0290BF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59779DD7" w14:textId="77777777" w:rsidR="000155D0" w:rsidRPr="007D5468" w:rsidRDefault="000155D0" w:rsidP="000155D0">
      <w:pPr>
        <w:ind w:left="720" w:firstLine="360"/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Response (response can be an attachment, e.g., Excel spreadsheet):</w:t>
      </w:r>
    </w:p>
    <w:p w14:paraId="5CEF329F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5F75DEB8" w14:textId="77777777" w:rsidR="000155D0" w:rsidRPr="007D5468" w:rsidRDefault="000155D0" w:rsidP="000155D0">
      <w:pPr>
        <w:ind w:left="1080"/>
        <w:rPr>
          <w:b/>
          <w:sz w:val="22"/>
          <w:szCs w:val="22"/>
        </w:rPr>
      </w:pPr>
      <w:r w:rsidRPr="007D5468">
        <w:rPr>
          <w:b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E1455" w14:textId="77777777" w:rsidR="000155D0" w:rsidRDefault="000155D0" w:rsidP="000155D0">
      <w:pPr>
        <w:ind w:left="720"/>
        <w:rPr>
          <w:b/>
          <w:sz w:val="22"/>
          <w:szCs w:val="22"/>
        </w:rPr>
      </w:pPr>
    </w:p>
    <w:p w14:paraId="138ED267" w14:textId="77777777" w:rsidR="000155D0" w:rsidRDefault="000155D0" w:rsidP="000155D0">
      <w:pPr>
        <w:ind w:left="720"/>
        <w:rPr>
          <w:b/>
          <w:sz w:val="22"/>
          <w:szCs w:val="22"/>
        </w:rPr>
      </w:pPr>
    </w:p>
    <w:p w14:paraId="692A84DE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1F38357B" w14:textId="77777777" w:rsidR="000155D0" w:rsidRPr="007D5468" w:rsidRDefault="000155D0" w:rsidP="000155D0">
      <w:pPr>
        <w:numPr>
          <w:ilvl w:val="0"/>
          <w:numId w:val="2"/>
        </w:numPr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 xml:space="preserve">Provide an explanation of the bureau’s determination that the effect of such instance of policy(s) and practice(s) on </w:t>
      </w:r>
      <w:r w:rsidRPr="007D5468">
        <w:rPr>
          <w:b/>
          <w:sz w:val="22"/>
          <w:szCs w:val="22"/>
          <w:u w:val="single"/>
        </w:rPr>
        <w:t>future periods’</w:t>
      </w:r>
      <w:r w:rsidRPr="007D5468">
        <w:rPr>
          <w:b/>
          <w:sz w:val="22"/>
          <w:szCs w:val="22"/>
        </w:rPr>
        <w:t xml:space="preserve"> financial statements is material or immaterial.</w:t>
      </w:r>
    </w:p>
    <w:p w14:paraId="4A687AB0" w14:textId="77777777" w:rsidR="000155D0" w:rsidRPr="007D5468" w:rsidRDefault="000155D0" w:rsidP="000155D0">
      <w:pPr>
        <w:ind w:left="720" w:firstLine="360"/>
        <w:rPr>
          <w:b/>
          <w:sz w:val="22"/>
          <w:szCs w:val="22"/>
        </w:rPr>
      </w:pPr>
    </w:p>
    <w:p w14:paraId="253784F6" w14:textId="77777777" w:rsidR="000155D0" w:rsidRPr="007D5468" w:rsidRDefault="000155D0" w:rsidP="000155D0">
      <w:pPr>
        <w:ind w:left="720" w:firstLine="360"/>
        <w:rPr>
          <w:b/>
          <w:sz w:val="22"/>
          <w:szCs w:val="22"/>
        </w:rPr>
      </w:pPr>
      <w:r w:rsidRPr="007D5468">
        <w:rPr>
          <w:b/>
          <w:sz w:val="22"/>
          <w:szCs w:val="22"/>
        </w:rPr>
        <w:t>Response:</w:t>
      </w:r>
    </w:p>
    <w:p w14:paraId="5DF48EBB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0A149313" w14:textId="77777777" w:rsidR="000155D0" w:rsidRPr="007D5468" w:rsidRDefault="000155D0" w:rsidP="000155D0">
      <w:pPr>
        <w:ind w:left="1080"/>
        <w:rPr>
          <w:b/>
          <w:sz w:val="22"/>
          <w:szCs w:val="22"/>
        </w:rPr>
      </w:pPr>
      <w:r w:rsidRPr="007D5468">
        <w:rPr>
          <w:b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5AEC09" w14:textId="77777777" w:rsidR="000155D0" w:rsidRPr="007D5468" w:rsidRDefault="000155D0" w:rsidP="000155D0">
      <w:pPr>
        <w:ind w:left="720"/>
        <w:rPr>
          <w:b/>
          <w:sz w:val="22"/>
          <w:szCs w:val="22"/>
        </w:rPr>
      </w:pPr>
    </w:p>
    <w:p w14:paraId="051DEE97" w14:textId="77777777" w:rsidR="00231576" w:rsidRDefault="0029089C"/>
    <w:sectPr w:rsidR="00231576" w:rsidSect="00BA548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7C73" w14:textId="77777777" w:rsidR="00F414DD" w:rsidRDefault="00F414DD">
      <w:r>
        <w:separator/>
      </w:r>
    </w:p>
  </w:endnote>
  <w:endnote w:type="continuationSeparator" w:id="0">
    <w:p w14:paraId="4A1A8247" w14:textId="77777777" w:rsidR="00F414DD" w:rsidRDefault="00F4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450E" w14:textId="77777777" w:rsidR="000B48A1" w:rsidRDefault="000155D0" w:rsidP="00FC6A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62280" w14:textId="77777777" w:rsidR="000B48A1" w:rsidRDefault="00290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23E38" w14:textId="31F8F8BE" w:rsidR="00614BEF" w:rsidRDefault="000155D0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5429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54297">
      <w:rPr>
        <w:b/>
        <w:bCs/>
        <w:noProof/>
      </w:rPr>
      <w:t>3</w:t>
    </w:r>
    <w:r>
      <w:rPr>
        <w:b/>
        <w:bCs/>
      </w:rPr>
      <w:fldChar w:fldCharType="end"/>
    </w:r>
  </w:p>
  <w:p w14:paraId="053B2B77" w14:textId="2B0A8AED" w:rsidR="00737AAE" w:rsidRPr="00531EFD" w:rsidRDefault="00531EFD">
    <w:pPr>
      <w:pStyle w:val="Footer"/>
      <w:rPr>
        <w:lang w:val="en-US"/>
      </w:rPr>
    </w:pPr>
    <w:r>
      <w:tab/>
    </w:r>
    <w:r>
      <w:tab/>
    </w:r>
    <w:r w:rsidR="00431275">
      <w:rPr>
        <w:lang w:val="en-US"/>
      </w:rPr>
      <w:t xml:space="preserve">December </w:t>
    </w:r>
    <w:r w:rsidR="00737AAE">
      <w:rPr>
        <w:lang w:val="en-US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2E4FA" w14:textId="77777777" w:rsidR="00F414DD" w:rsidRDefault="00F414DD">
      <w:r>
        <w:separator/>
      </w:r>
    </w:p>
  </w:footnote>
  <w:footnote w:type="continuationSeparator" w:id="0">
    <w:p w14:paraId="2A00E0E7" w14:textId="77777777" w:rsidR="00F414DD" w:rsidRDefault="00F4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C1E42"/>
    <w:multiLevelType w:val="hybridMultilevel"/>
    <w:tmpl w:val="38265874"/>
    <w:lvl w:ilvl="0" w:tplc="050E3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15E0C"/>
    <w:multiLevelType w:val="hybridMultilevel"/>
    <w:tmpl w:val="1F30B604"/>
    <w:lvl w:ilvl="0" w:tplc="442EE3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260FDF"/>
    <w:multiLevelType w:val="hybridMultilevel"/>
    <w:tmpl w:val="E6946DA2"/>
    <w:lvl w:ilvl="0" w:tplc="41F6D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D0"/>
    <w:rsid w:val="000155D0"/>
    <w:rsid w:val="001B79B2"/>
    <w:rsid w:val="001C53E1"/>
    <w:rsid w:val="00213CED"/>
    <w:rsid w:val="00261A26"/>
    <w:rsid w:val="0028096E"/>
    <w:rsid w:val="00284BDF"/>
    <w:rsid w:val="0029089C"/>
    <w:rsid w:val="00294614"/>
    <w:rsid w:val="002B240B"/>
    <w:rsid w:val="00322A26"/>
    <w:rsid w:val="00375E62"/>
    <w:rsid w:val="003A58A8"/>
    <w:rsid w:val="003C7B6E"/>
    <w:rsid w:val="003F3B5B"/>
    <w:rsid w:val="00404A87"/>
    <w:rsid w:val="00407530"/>
    <w:rsid w:val="00431275"/>
    <w:rsid w:val="00470CBC"/>
    <w:rsid w:val="004979CE"/>
    <w:rsid w:val="004C5706"/>
    <w:rsid w:val="004F3E85"/>
    <w:rsid w:val="00512699"/>
    <w:rsid w:val="00531EFD"/>
    <w:rsid w:val="005337CE"/>
    <w:rsid w:val="005A52B2"/>
    <w:rsid w:val="005B2475"/>
    <w:rsid w:val="005F4709"/>
    <w:rsid w:val="00630AD9"/>
    <w:rsid w:val="00706DA3"/>
    <w:rsid w:val="00737AAE"/>
    <w:rsid w:val="00740990"/>
    <w:rsid w:val="0079779F"/>
    <w:rsid w:val="007F2211"/>
    <w:rsid w:val="008232F5"/>
    <w:rsid w:val="00854297"/>
    <w:rsid w:val="00881CA3"/>
    <w:rsid w:val="00A80508"/>
    <w:rsid w:val="00A92CD3"/>
    <w:rsid w:val="00AA2DC7"/>
    <w:rsid w:val="00BA61E2"/>
    <w:rsid w:val="00BB2BB8"/>
    <w:rsid w:val="00BE4D7D"/>
    <w:rsid w:val="00C00AC1"/>
    <w:rsid w:val="00C23EE9"/>
    <w:rsid w:val="00C3481E"/>
    <w:rsid w:val="00CA043A"/>
    <w:rsid w:val="00CB74BC"/>
    <w:rsid w:val="00D33A11"/>
    <w:rsid w:val="00D35C19"/>
    <w:rsid w:val="00D43A29"/>
    <w:rsid w:val="00D84FEB"/>
    <w:rsid w:val="00DD4F1E"/>
    <w:rsid w:val="00E07D5B"/>
    <w:rsid w:val="00E26D67"/>
    <w:rsid w:val="00E335C4"/>
    <w:rsid w:val="00E91BB7"/>
    <w:rsid w:val="00ED3C4E"/>
    <w:rsid w:val="00F212A9"/>
    <w:rsid w:val="00F261DD"/>
    <w:rsid w:val="00F4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C7EC4D"/>
  <w15:docId w15:val="{8C9A6EEC-821D-44C7-8536-214F57D1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55D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155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rsid w:val="000155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EF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1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B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BB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F2E0-8EC6-4C54-8B54-C60C4F88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Salzer, Kristin (Federal)</cp:lastModifiedBy>
  <cp:revision>7</cp:revision>
  <cp:lastPrinted>2014-11-19T16:27:00Z</cp:lastPrinted>
  <dcterms:created xsi:type="dcterms:W3CDTF">2019-03-01T14:13:00Z</dcterms:created>
  <dcterms:modified xsi:type="dcterms:W3CDTF">2019-12-03T15:33:00Z</dcterms:modified>
</cp:coreProperties>
</file>