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F0C" w:rsidRDefault="00CE7F0C">
      <w:pPr>
        <w:pStyle w:val="Title"/>
        <w:rPr>
          <w:rFonts w:ascii="Times New Roman" w:hAnsi="Times New Roman"/>
        </w:rPr>
      </w:pPr>
      <w:r>
        <w:rPr>
          <w:rFonts w:ascii="Times New Roman" w:hAnsi="Times New Roman"/>
        </w:rPr>
        <w:t>CREDIT AND DEBT MANAGEMENT</w:t>
      </w:r>
    </w:p>
    <w:p w:rsidR="00CE7F0C" w:rsidRDefault="00CE7F0C">
      <w:pPr>
        <w:jc w:val="center"/>
        <w:rPr>
          <w:sz w:val="24"/>
        </w:rPr>
      </w:pPr>
      <w:r>
        <w:rPr>
          <w:sz w:val="24"/>
        </w:rPr>
        <w:t>OPERATING STANDARDS AND PROCEDURES HANDBOOK</w:t>
      </w:r>
    </w:p>
    <w:p w:rsidR="00CE7F0C" w:rsidRDefault="00CE7F0C">
      <w:pPr>
        <w:rPr>
          <w:rStyle w:val="Hyperlink"/>
        </w:rPr>
      </w:pPr>
    </w:p>
    <w:p w:rsidR="00CE7F0C" w:rsidRDefault="00CE7F0C">
      <w:pPr>
        <w:rPr>
          <w:rStyle w:val="Hyperlink"/>
        </w:rPr>
      </w:pPr>
    </w:p>
    <w:p w:rsidR="00CE7F0C" w:rsidRDefault="00CE7F0C">
      <w:pPr>
        <w:rPr>
          <w:sz w:val="24"/>
        </w:rPr>
      </w:pPr>
      <w:r>
        <w:rPr>
          <w:sz w:val="24"/>
          <w:u w:val="single"/>
        </w:rPr>
        <w:t>CHAPTER 3.  POLICY</w:t>
      </w:r>
    </w:p>
    <w:p w:rsidR="00CE7F0C" w:rsidRDefault="00CE7F0C">
      <w:pPr>
        <w:rPr>
          <w:sz w:val="24"/>
        </w:rPr>
      </w:pPr>
      <w:bookmarkStart w:id="0" w:name="_GoBack"/>
      <w:bookmarkEnd w:id="0"/>
    </w:p>
    <w:p w:rsidR="00CE7F0C" w:rsidRDefault="00CE7F0C">
      <w:pPr>
        <w:rPr>
          <w:sz w:val="24"/>
        </w:rPr>
      </w:pPr>
      <w:r>
        <w:rPr>
          <w:sz w:val="24"/>
          <w:u w:val="single"/>
        </w:rPr>
        <w:t>Section 1.0 General</w:t>
      </w:r>
    </w:p>
    <w:p w:rsidR="00CE7F0C" w:rsidRDefault="00CE7F0C">
      <w:pPr>
        <w:rPr>
          <w:sz w:val="24"/>
        </w:rPr>
      </w:pPr>
    </w:p>
    <w:p w:rsidR="00CE7F0C" w:rsidRDefault="00CE7F0C">
      <w:pPr>
        <w:tabs>
          <w:tab w:val="left" w:pos="720"/>
          <w:tab w:val="left" w:pos="1440"/>
        </w:tabs>
        <w:ind w:left="1440" w:hanging="720"/>
        <w:rPr>
          <w:sz w:val="24"/>
        </w:rPr>
      </w:pPr>
      <w:r>
        <w:rPr>
          <w:sz w:val="24"/>
        </w:rPr>
        <w:t>.01</w:t>
      </w:r>
      <w:r>
        <w:rPr>
          <w:sz w:val="24"/>
        </w:rPr>
        <w:tab/>
      </w:r>
      <w:r>
        <w:rPr>
          <w:sz w:val="24"/>
          <w:u w:val="single"/>
        </w:rPr>
        <w:t>Financial Assistance (Credit Extension) Functions</w:t>
      </w:r>
    </w:p>
    <w:p w:rsidR="00CE7F0C" w:rsidRDefault="00CE7F0C">
      <w:pPr>
        <w:rPr>
          <w:sz w:val="24"/>
        </w:rPr>
      </w:pPr>
    </w:p>
    <w:p w:rsidR="00CE7F0C" w:rsidRDefault="00CE7F0C">
      <w:pPr>
        <w:ind w:left="1440"/>
        <w:rPr>
          <w:sz w:val="24"/>
        </w:rPr>
      </w:pPr>
      <w:r>
        <w:rPr>
          <w:sz w:val="24"/>
        </w:rPr>
        <w:t>Departmental policy, procedures</w:t>
      </w:r>
      <w:r w:rsidR="00657107">
        <w:rPr>
          <w:sz w:val="24"/>
        </w:rPr>
        <w:t>,</w:t>
      </w:r>
      <w:r>
        <w:rPr>
          <w:sz w:val="24"/>
        </w:rPr>
        <w:t xml:space="preserve"> and standards for financial assistance programs (including grants, cooperative agreements, loans</w:t>
      </w:r>
      <w:r w:rsidR="00657107">
        <w:rPr>
          <w:sz w:val="24"/>
        </w:rPr>
        <w:t>,</w:t>
      </w:r>
      <w:r>
        <w:rPr>
          <w:sz w:val="24"/>
        </w:rPr>
        <w:t xml:space="preserve"> and loan guarantees) are administered by </w:t>
      </w:r>
      <w:r>
        <w:rPr>
          <w:sz w:val="24"/>
          <w:szCs w:val="24"/>
        </w:rPr>
        <w:t xml:space="preserve">the </w:t>
      </w:r>
      <w:r w:rsidR="00657107">
        <w:rPr>
          <w:sz w:val="24"/>
          <w:szCs w:val="24"/>
        </w:rPr>
        <w:t xml:space="preserve">Department’s </w:t>
      </w:r>
      <w:r>
        <w:rPr>
          <w:sz w:val="24"/>
          <w:szCs w:val="24"/>
        </w:rPr>
        <w:t>Office of Financial Management (OFM).</w:t>
      </w:r>
      <w:r>
        <w:rPr>
          <w:color w:val="FF0000"/>
          <w:sz w:val="24"/>
        </w:rPr>
        <w:t xml:space="preserve"> </w:t>
      </w:r>
      <w:r>
        <w:rPr>
          <w:sz w:val="24"/>
        </w:rPr>
        <w:t xml:space="preserve"> See </w:t>
      </w:r>
      <w:hyperlink r:id="rId7" w:history="1">
        <w:r w:rsidR="008B6F2C" w:rsidRPr="00C17D2E">
          <w:rPr>
            <w:rStyle w:val="Hyperlink"/>
            <w:szCs w:val="24"/>
          </w:rPr>
          <w:t xml:space="preserve">Departmental Organizational Order (DOO) 20-28, </w:t>
        </w:r>
        <w:r w:rsidR="008B6F2C" w:rsidRPr="00D67815">
          <w:rPr>
            <w:rStyle w:val="Hyperlink"/>
            <w:i/>
            <w:szCs w:val="24"/>
          </w:rPr>
          <w:t>Director for Executive Budgeting and</w:t>
        </w:r>
        <w:r w:rsidR="008B6F2C" w:rsidRPr="00C17D2E">
          <w:rPr>
            <w:rStyle w:val="Hyperlink"/>
            <w:szCs w:val="24"/>
          </w:rPr>
          <w:t xml:space="preserve"> </w:t>
        </w:r>
        <w:r w:rsidR="008B6F2C" w:rsidRPr="00D67815">
          <w:rPr>
            <w:rStyle w:val="Hyperlink"/>
            <w:i/>
            <w:szCs w:val="24"/>
          </w:rPr>
          <w:t>Assistance Management</w:t>
        </w:r>
      </w:hyperlink>
      <w:r w:rsidR="008B6F2C" w:rsidRPr="00C17D2E">
        <w:rPr>
          <w:sz w:val="24"/>
          <w:szCs w:val="24"/>
          <w:u w:val="single"/>
        </w:rPr>
        <w:t>.</w:t>
      </w:r>
      <w:r w:rsidRPr="00C17D2E">
        <w:rPr>
          <w:sz w:val="24"/>
          <w:szCs w:val="24"/>
        </w:rPr>
        <w:t xml:space="preserve">  Also refer to </w:t>
      </w:r>
      <w:hyperlink r:id="rId8" w:history="1">
        <w:r w:rsidR="008B6F2C" w:rsidRPr="00C17D2E">
          <w:rPr>
            <w:rStyle w:val="Hyperlink"/>
            <w:szCs w:val="24"/>
          </w:rPr>
          <w:t xml:space="preserve">Departmental Administrative Order (DAO) 203-26, </w:t>
        </w:r>
        <w:r w:rsidR="008B6F2C" w:rsidRPr="00D67815">
          <w:rPr>
            <w:rStyle w:val="Hyperlink"/>
            <w:i/>
            <w:szCs w:val="24"/>
          </w:rPr>
          <w:t>Department of Commerce Grants Administration</w:t>
        </w:r>
      </w:hyperlink>
      <w:r>
        <w:rPr>
          <w:sz w:val="24"/>
        </w:rPr>
        <w:t xml:space="preserve"> for guidance on grants and cooperative agreements.  Operating policies, procedures</w:t>
      </w:r>
      <w:r w:rsidR="00657107">
        <w:rPr>
          <w:sz w:val="24"/>
        </w:rPr>
        <w:t>,</w:t>
      </w:r>
      <w:r>
        <w:rPr>
          <w:sz w:val="24"/>
        </w:rPr>
        <w:t xml:space="preserve"> and standards for financial assistance and credit extension functions, which are established and maintained by OFM, are included in </w:t>
      </w:r>
      <w:hyperlink r:id="rId9" w:history="1">
        <w:r>
          <w:rPr>
            <w:rStyle w:val="Hyperlink"/>
            <w:szCs w:val="24"/>
          </w:rPr>
          <w:t>Chapter 5</w:t>
        </w:r>
      </w:hyperlink>
      <w:r>
        <w:rPr>
          <w:sz w:val="24"/>
        </w:rPr>
        <w:t xml:space="preserve"> of this Handbook, </w:t>
      </w:r>
      <w:r w:rsidRPr="00D67815">
        <w:rPr>
          <w:i/>
          <w:sz w:val="24"/>
        </w:rPr>
        <w:t>Procedures for</w:t>
      </w:r>
      <w:r>
        <w:rPr>
          <w:sz w:val="24"/>
        </w:rPr>
        <w:t xml:space="preserve"> </w:t>
      </w:r>
      <w:r w:rsidRPr="00D67815">
        <w:rPr>
          <w:i/>
          <w:sz w:val="24"/>
        </w:rPr>
        <w:t>Loans and Loan Guarantees Pre-award Evaluation</w:t>
      </w:r>
      <w:r>
        <w:rPr>
          <w:sz w:val="24"/>
        </w:rPr>
        <w:t>, for the user's convenience.</w:t>
      </w:r>
    </w:p>
    <w:p w:rsidR="00CE7F0C" w:rsidRDefault="00CE7F0C">
      <w:pPr>
        <w:rPr>
          <w:sz w:val="24"/>
        </w:rPr>
      </w:pPr>
    </w:p>
    <w:p w:rsidR="00CE7F0C" w:rsidRDefault="00CE7F0C">
      <w:pPr>
        <w:tabs>
          <w:tab w:val="left" w:pos="720"/>
          <w:tab w:val="left" w:pos="1440"/>
        </w:tabs>
        <w:ind w:left="1440" w:hanging="720"/>
        <w:rPr>
          <w:sz w:val="24"/>
        </w:rPr>
      </w:pPr>
      <w:r>
        <w:rPr>
          <w:sz w:val="24"/>
        </w:rPr>
        <w:t>.02</w:t>
      </w:r>
      <w:r>
        <w:rPr>
          <w:sz w:val="24"/>
        </w:rPr>
        <w:tab/>
      </w:r>
      <w:r>
        <w:rPr>
          <w:sz w:val="24"/>
          <w:u w:val="single"/>
        </w:rPr>
        <w:t>Debt Management Functions</w:t>
      </w:r>
    </w:p>
    <w:p w:rsidR="00CE7F0C" w:rsidRDefault="00CE7F0C">
      <w:pPr>
        <w:rPr>
          <w:sz w:val="24"/>
        </w:rPr>
      </w:pPr>
    </w:p>
    <w:p w:rsidR="00CE7F0C" w:rsidRDefault="00CE7F0C">
      <w:pPr>
        <w:ind w:left="1440"/>
        <w:rPr>
          <w:sz w:val="24"/>
        </w:rPr>
      </w:pPr>
      <w:r>
        <w:rPr>
          <w:sz w:val="24"/>
        </w:rPr>
        <w:t>OFM is responsible for developing, issuing</w:t>
      </w:r>
      <w:r w:rsidR="00657107">
        <w:rPr>
          <w:sz w:val="24"/>
        </w:rPr>
        <w:t>,</w:t>
      </w:r>
      <w:r>
        <w:rPr>
          <w:sz w:val="24"/>
        </w:rPr>
        <w:t xml:space="preserve"> and implementing policies, procedures</w:t>
      </w:r>
      <w:r w:rsidR="00657107">
        <w:rPr>
          <w:sz w:val="24"/>
        </w:rPr>
        <w:t>,</w:t>
      </w:r>
      <w:r>
        <w:rPr>
          <w:sz w:val="24"/>
        </w:rPr>
        <w:t xml:space="preserve"> and standards for the management of Federal debts, including debt accounting and financial reporting, loan servicing, debt portfolio management</w:t>
      </w:r>
      <w:r w:rsidR="00657107">
        <w:rPr>
          <w:sz w:val="24"/>
        </w:rPr>
        <w:t>,</w:t>
      </w:r>
      <w:r>
        <w:rPr>
          <w:sz w:val="24"/>
        </w:rPr>
        <w:t xml:space="preserve"> and debt collections.</w:t>
      </w:r>
    </w:p>
    <w:p w:rsidR="00CE7F0C" w:rsidRDefault="00CE7F0C">
      <w:pPr>
        <w:rPr>
          <w:sz w:val="24"/>
        </w:rPr>
      </w:pPr>
    </w:p>
    <w:p w:rsidR="00CE7F0C" w:rsidRDefault="00CE7F0C">
      <w:pPr>
        <w:rPr>
          <w:sz w:val="24"/>
        </w:rPr>
      </w:pPr>
      <w:r>
        <w:rPr>
          <w:sz w:val="24"/>
          <w:u w:val="single"/>
        </w:rPr>
        <w:t>Section 2.0 Debt Accounting and Financial Reporting</w:t>
      </w:r>
    </w:p>
    <w:p w:rsidR="00CE7F0C" w:rsidRDefault="00CE7F0C">
      <w:pPr>
        <w:rPr>
          <w:sz w:val="24"/>
        </w:rPr>
      </w:pPr>
    </w:p>
    <w:p w:rsidR="00CE7F0C" w:rsidRDefault="00CE7F0C">
      <w:pPr>
        <w:tabs>
          <w:tab w:val="left" w:pos="720"/>
          <w:tab w:val="left" w:pos="1440"/>
        </w:tabs>
        <w:ind w:left="1440" w:hanging="720"/>
        <w:rPr>
          <w:sz w:val="24"/>
        </w:rPr>
      </w:pPr>
      <w:r>
        <w:rPr>
          <w:sz w:val="24"/>
        </w:rPr>
        <w:t>.01</w:t>
      </w:r>
      <w:r>
        <w:rPr>
          <w:sz w:val="24"/>
        </w:rPr>
        <w:tab/>
      </w:r>
      <w:r w:rsidRPr="003F697E">
        <w:rPr>
          <w:sz w:val="24"/>
          <w:u w:val="single"/>
        </w:rPr>
        <w:t>U.S. Standard General Ledger Compliance at Transaction Level</w:t>
      </w:r>
    </w:p>
    <w:p w:rsidR="00CE7F0C" w:rsidRDefault="00CE7F0C">
      <w:pPr>
        <w:rPr>
          <w:sz w:val="24"/>
        </w:rPr>
      </w:pPr>
    </w:p>
    <w:p w:rsidR="00CE7F0C" w:rsidRDefault="00CE7F0C">
      <w:pPr>
        <w:ind w:left="1440"/>
        <w:rPr>
          <w:sz w:val="24"/>
        </w:rPr>
      </w:pPr>
      <w:r>
        <w:rPr>
          <w:sz w:val="24"/>
        </w:rPr>
        <w:t>Debt accounting records shall be maintained in compliance with U. S. Standard General Ledger requirements at the transaction level.</w:t>
      </w:r>
    </w:p>
    <w:p w:rsidR="00CE7F0C" w:rsidRDefault="00CE7F0C">
      <w:pPr>
        <w:rPr>
          <w:sz w:val="24"/>
        </w:rPr>
      </w:pPr>
    </w:p>
    <w:p w:rsidR="006F2995" w:rsidRDefault="006F2995">
      <w:pPr>
        <w:rPr>
          <w:sz w:val="24"/>
        </w:rPr>
      </w:pPr>
    </w:p>
    <w:p w:rsidR="006F2995" w:rsidRDefault="006F2995">
      <w:pPr>
        <w:rPr>
          <w:sz w:val="24"/>
        </w:rPr>
      </w:pPr>
    </w:p>
    <w:p w:rsidR="006F2995" w:rsidRDefault="006F2995">
      <w:pPr>
        <w:rPr>
          <w:sz w:val="24"/>
        </w:rPr>
      </w:pPr>
    </w:p>
    <w:p w:rsidR="006F2995" w:rsidRDefault="006F2995">
      <w:pPr>
        <w:rPr>
          <w:sz w:val="24"/>
        </w:rPr>
      </w:pPr>
    </w:p>
    <w:p w:rsidR="006F2995" w:rsidRDefault="006F2995">
      <w:pPr>
        <w:rPr>
          <w:sz w:val="24"/>
        </w:rPr>
      </w:pPr>
    </w:p>
    <w:p w:rsidR="006F2995" w:rsidRDefault="006F2995">
      <w:pPr>
        <w:rPr>
          <w:sz w:val="24"/>
        </w:rPr>
      </w:pPr>
    </w:p>
    <w:p w:rsidR="006F2995" w:rsidRDefault="006F2995">
      <w:pPr>
        <w:rPr>
          <w:sz w:val="24"/>
        </w:rPr>
      </w:pPr>
    </w:p>
    <w:p w:rsidR="006F2995" w:rsidRDefault="006F2995">
      <w:pPr>
        <w:rPr>
          <w:sz w:val="24"/>
        </w:rPr>
      </w:pPr>
    </w:p>
    <w:p w:rsidR="00CE7F0C" w:rsidRDefault="00CE7F0C">
      <w:pPr>
        <w:tabs>
          <w:tab w:val="left" w:pos="720"/>
          <w:tab w:val="left" w:pos="1440"/>
        </w:tabs>
        <w:ind w:left="1440" w:hanging="720"/>
        <w:rPr>
          <w:sz w:val="24"/>
        </w:rPr>
      </w:pPr>
      <w:r>
        <w:rPr>
          <w:sz w:val="24"/>
        </w:rPr>
        <w:lastRenderedPageBreak/>
        <w:t>.02</w:t>
      </w:r>
      <w:r>
        <w:rPr>
          <w:sz w:val="24"/>
        </w:rPr>
        <w:tab/>
      </w:r>
      <w:r>
        <w:rPr>
          <w:sz w:val="24"/>
          <w:u w:val="single"/>
        </w:rPr>
        <w:t>Principles and Standards</w:t>
      </w:r>
    </w:p>
    <w:p w:rsidR="00CE7F0C" w:rsidRDefault="00CE7F0C">
      <w:pPr>
        <w:rPr>
          <w:sz w:val="24"/>
        </w:rPr>
      </w:pPr>
    </w:p>
    <w:p w:rsidR="00CE7F0C" w:rsidRDefault="00CE7F0C">
      <w:pPr>
        <w:ind w:left="1440"/>
        <w:rPr>
          <w:sz w:val="24"/>
        </w:rPr>
      </w:pPr>
      <w:r>
        <w:rPr>
          <w:sz w:val="24"/>
        </w:rPr>
        <w:t>Accounting and reporting systems will meet the principles and standards established by</w:t>
      </w:r>
      <w:r w:rsidR="00657107">
        <w:rPr>
          <w:sz w:val="24"/>
        </w:rPr>
        <w:t xml:space="preserve"> the Office of Management and Budget (</w:t>
      </w:r>
      <w:r>
        <w:rPr>
          <w:sz w:val="24"/>
        </w:rPr>
        <w:t>OMB</w:t>
      </w:r>
      <w:r w:rsidR="00657107">
        <w:rPr>
          <w:sz w:val="24"/>
        </w:rPr>
        <w:t>),</w:t>
      </w:r>
      <w:r>
        <w:rPr>
          <w:sz w:val="24"/>
        </w:rPr>
        <w:t xml:space="preserve"> </w:t>
      </w:r>
      <w:r w:rsidR="00657107">
        <w:rPr>
          <w:sz w:val="24"/>
        </w:rPr>
        <w:t>U.S. Department of the Treasury (</w:t>
      </w:r>
      <w:r>
        <w:rPr>
          <w:sz w:val="24"/>
        </w:rPr>
        <w:t>Treasury</w:t>
      </w:r>
      <w:r w:rsidR="00657107">
        <w:rPr>
          <w:sz w:val="24"/>
        </w:rPr>
        <w:t>), and</w:t>
      </w:r>
      <w:r>
        <w:rPr>
          <w:sz w:val="24"/>
        </w:rPr>
        <w:t xml:space="preserve"> </w:t>
      </w:r>
      <w:r w:rsidR="00657107">
        <w:rPr>
          <w:sz w:val="24"/>
        </w:rPr>
        <w:t xml:space="preserve">other applicable </w:t>
      </w:r>
      <w:r>
        <w:rPr>
          <w:sz w:val="24"/>
        </w:rPr>
        <w:t>central agencies.  The systems will meet the specific requirements established by:</w:t>
      </w:r>
    </w:p>
    <w:p w:rsidR="00CE7F0C" w:rsidRDefault="00CE7F0C">
      <w:pPr>
        <w:ind w:left="1440"/>
        <w:rPr>
          <w:sz w:val="24"/>
        </w:rPr>
      </w:pPr>
    </w:p>
    <w:p w:rsidR="00CE7F0C" w:rsidRDefault="006558B0">
      <w:pPr>
        <w:pStyle w:val="1AutoList1"/>
        <w:numPr>
          <w:ilvl w:val="0"/>
          <w:numId w:val="5"/>
        </w:numPr>
        <w:tabs>
          <w:tab w:val="clear" w:pos="720"/>
        </w:tabs>
        <w:jc w:val="left"/>
        <w:rPr>
          <w:color w:val="0000FF"/>
        </w:rPr>
      </w:pPr>
      <w:hyperlink r:id="rId10" w:history="1">
        <w:r w:rsidR="008B6F2C">
          <w:rPr>
            <w:rStyle w:val="Hyperlink"/>
          </w:rPr>
          <w:t xml:space="preserve">OMB Circular A-129 </w:t>
        </w:r>
        <w:r w:rsidR="008B6F2C" w:rsidRPr="00F74449">
          <w:rPr>
            <w:rStyle w:val="Hyperlink"/>
          </w:rPr>
          <w:t>Revised</w:t>
        </w:r>
        <w:r w:rsidR="008B6F2C" w:rsidRPr="00C17D2E">
          <w:rPr>
            <w:rStyle w:val="Hyperlink"/>
            <w:i/>
          </w:rPr>
          <w:t>, Policies for Federal Credit Programs and Non-Tax Receivables</w:t>
        </w:r>
      </w:hyperlink>
      <w:r w:rsidR="008B6F2C">
        <w:rPr>
          <w:color w:val="0000FF"/>
        </w:rPr>
        <w:t>;</w:t>
      </w:r>
    </w:p>
    <w:p w:rsidR="00CE7F0C" w:rsidRDefault="00CE7F0C">
      <w:pPr>
        <w:pStyle w:val="1AutoList1"/>
        <w:tabs>
          <w:tab w:val="clear" w:pos="720"/>
          <w:tab w:val="left" w:pos="2160"/>
        </w:tabs>
        <w:jc w:val="left"/>
      </w:pPr>
    </w:p>
    <w:p w:rsidR="00CE7F0C" w:rsidRDefault="006558B0">
      <w:pPr>
        <w:pStyle w:val="1AutoList1"/>
        <w:numPr>
          <w:ilvl w:val="0"/>
          <w:numId w:val="5"/>
        </w:numPr>
        <w:tabs>
          <w:tab w:val="clear" w:pos="720"/>
        </w:tabs>
        <w:jc w:val="left"/>
      </w:pPr>
      <w:hyperlink r:id="rId11" w:history="1">
        <w:r w:rsidR="008B6F2C">
          <w:rPr>
            <w:rStyle w:val="Hyperlink"/>
          </w:rPr>
          <w:t xml:space="preserve">OMB Circular A-127 </w:t>
        </w:r>
        <w:r w:rsidR="008B6F2C" w:rsidRPr="00F74449">
          <w:rPr>
            <w:rStyle w:val="Hyperlink"/>
          </w:rPr>
          <w:t>Revised</w:t>
        </w:r>
        <w:r w:rsidR="008B6F2C" w:rsidRPr="00C17D2E">
          <w:rPr>
            <w:rStyle w:val="Hyperlink"/>
            <w:i/>
          </w:rPr>
          <w:t>, Financial Management Systems</w:t>
        </w:r>
      </w:hyperlink>
      <w:r w:rsidR="008B6F2C">
        <w:t>;</w:t>
      </w:r>
    </w:p>
    <w:p w:rsidR="00CE7F0C" w:rsidRDefault="00CE7F0C">
      <w:pPr>
        <w:pStyle w:val="1AutoList1"/>
        <w:tabs>
          <w:tab w:val="clear" w:pos="720"/>
        </w:tabs>
        <w:ind w:left="0" w:firstLine="0"/>
        <w:jc w:val="left"/>
      </w:pPr>
    </w:p>
    <w:p w:rsidR="00CE7F0C" w:rsidRDefault="00CE7F0C">
      <w:pPr>
        <w:pStyle w:val="1AutoList1"/>
        <w:ind w:left="2160"/>
        <w:jc w:val="left"/>
      </w:pPr>
    </w:p>
    <w:p w:rsidR="00CE7F0C" w:rsidRDefault="006558B0">
      <w:pPr>
        <w:pStyle w:val="1AutoList1"/>
        <w:numPr>
          <w:ilvl w:val="0"/>
          <w:numId w:val="5"/>
        </w:numPr>
        <w:jc w:val="left"/>
      </w:pPr>
      <w:hyperlink r:id="rId12" w:history="1">
        <w:r w:rsidR="00CE7F0C" w:rsidRPr="003F697E">
          <w:rPr>
            <w:rStyle w:val="Hyperlink"/>
          </w:rPr>
          <w:t>Treasury’s Guide to the Federal Credit Bureau Program</w:t>
        </w:r>
      </w:hyperlink>
      <w:r w:rsidR="00CE7F0C" w:rsidRPr="003F697E">
        <w:t>;</w:t>
      </w:r>
      <w:r w:rsidR="00CE7F0C">
        <w:t xml:space="preserve"> and</w:t>
      </w:r>
    </w:p>
    <w:p w:rsidR="00CE7F0C" w:rsidRDefault="00CE7F0C">
      <w:pPr>
        <w:pStyle w:val="1AutoList1"/>
        <w:tabs>
          <w:tab w:val="left" w:pos="2160"/>
        </w:tabs>
        <w:jc w:val="left"/>
      </w:pPr>
    </w:p>
    <w:p w:rsidR="00CE7F0C" w:rsidRDefault="006558B0">
      <w:pPr>
        <w:pStyle w:val="1AutoList1"/>
        <w:numPr>
          <w:ilvl w:val="0"/>
          <w:numId w:val="5"/>
        </w:numPr>
        <w:tabs>
          <w:tab w:val="clear" w:pos="720"/>
        </w:tabs>
        <w:jc w:val="left"/>
      </w:pPr>
      <w:hyperlink r:id="rId13" w:history="1">
        <w:r w:rsidR="00CE7F0C">
          <w:rPr>
            <w:rStyle w:val="Hyperlink"/>
          </w:rPr>
          <w:t>Treasury Financial Manual</w:t>
        </w:r>
      </w:hyperlink>
      <w:r w:rsidR="00CE7F0C">
        <w:t xml:space="preserve"> reporting requirements.</w:t>
      </w:r>
    </w:p>
    <w:p w:rsidR="00CE7F0C" w:rsidRDefault="00CE7F0C">
      <w:pPr>
        <w:pStyle w:val="1AutoList1"/>
        <w:tabs>
          <w:tab w:val="clear" w:pos="720"/>
        </w:tabs>
        <w:ind w:left="0" w:firstLine="0"/>
        <w:jc w:val="left"/>
      </w:pPr>
    </w:p>
    <w:p w:rsidR="00CE7F0C" w:rsidRDefault="00CE7F0C">
      <w:pPr>
        <w:tabs>
          <w:tab w:val="left" w:pos="720"/>
          <w:tab w:val="left" w:pos="1440"/>
          <w:tab w:val="left" w:pos="2160"/>
        </w:tabs>
        <w:ind w:left="2160" w:hanging="1440"/>
        <w:rPr>
          <w:sz w:val="24"/>
        </w:rPr>
      </w:pPr>
      <w:r>
        <w:rPr>
          <w:sz w:val="24"/>
        </w:rPr>
        <w:t>.03</w:t>
      </w:r>
      <w:r>
        <w:rPr>
          <w:sz w:val="24"/>
        </w:rPr>
        <w:tab/>
      </w:r>
      <w:r>
        <w:rPr>
          <w:sz w:val="24"/>
          <w:u w:val="single"/>
        </w:rPr>
        <w:t>Other Requirements</w:t>
      </w:r>
    </w:p>
    <w:p w:rsidR="00CE7F0C" w:rsidRDefault="00CE7F0C">
      <w:pPr>
        <w:rPr>
          <w:sz w:val="24"/>
        </w:rPr>
      </w:pPr>
    </w:p>
    <w:p w:rsidR="00CE7F0C" w:rsidRDefault="00CE7F0C">
      <w:pPr>
        <w:pStyle w:val="BodyTextIndent"/>
      </w:pPr>
      <w:r>
        <w:t>The accounting and reporting systems will also meet the credit management needs of organization unit operating personnel.  This will include but not be limited to the development of loan loss estimates, collection targets, and write-off estimates.  The systems will permit calculation of various performance measures and rates by credit and debt management program officials.</w:t>
      </w:r>
    </w:p>
    <w:p w:rsidR="00CE7F0C" w:rsidRDefault="00CE7F0C">
      <w:pPr>
        <w:rPr>
          <w:sz w:val="24"/>
        </w:rPr>
      </w:pPr>
    </w:p>
    <w:p w:rsidR="00CE7F0C" w:rsidRDefault="00CE7F0C">
      <w:pPr>
        <w:rPr>
          <w:sz w:val="24"/>
        </w:rPr>
      </w:pPr>
      <w:r>
        <w:rPr>
          <w:sz w:val="24"/>
          <w:u w:val="single"/>
        </w:rPr>
        <w:t>Section 3. Loan Servicing</w:t>
      </w:r>
    </w:p>
    <w:p w:rsidR="00CE7F0C" w:rsidRDefault="00CE7F0C">
      <w:pPr>
        <w:rPr>
          <w:sz w:val="24"/>
        </w:rPr>
      </w:pPr>
    </w:p>
    <w:p w:rsidR="00CE7F0C" w:rsidRDefault="00CE7F0C">
      <w:pPr>
        <w:rPr>
          <w:sz w:val="24"/>
        </w:rPr>
      </w:pPr>
      <w:r>
        <w:rPr>
          <w:sz w:val="24"/>
        </w:rPr>
        <w:t xml:space="preserve">All bureaus must meet loan servicing standards as set forth in </w:t>
      </w:r>
      <w:hyperlink r:id="rId14" w:history="1">
        <w:r w:rsidR="004F32AD">
          <w:rPr>
            <w:rStyle w:val="Hyperlink"/>
          </w:rPr>
          <w:t xml:space="preserve">OMB Circular A-129 Revised, </w:t>
        </w:r>
        <w:r w:rsidR="004F32AD" w:rsidRPr="002D7666">
          <w:rPr>
            <w:rStyle w:val="Hyperlink"/>
            <w:i/>
          </w:rPr>
          <w:t>Policies for Federal Credit Programs and Non-Tax Receivables</w:t>
        </w:r>
      </w:hyperlink>
      <w:r w:rsidR="004F32AD">
        <w:rPr>
          <w:sz w:val="24"/>
        </w:rPr>
        <w:t xml:space="preserve">, </w:t>
      </w:r>
      <w:r>
        <w:rPr>
          <w:sz w:val="24"/>
        </w:rPr>
        <w:t xml:space="preserve">regarding loan documentation, billing and collections, the use of escrow accounts and debt reporting to credit reporting agencies.  Loan servicing procedures are provided in </w:t>
      </w:r>
      <w:r w:rsidR="003F697E" w:rsidRPr="003F697E">
        <w:rPr>
          <w:sz w:val="24"/>
          <w:szCs w:val="24"/>
        </w:rPr>
        <w:t>C</w:t>
      </w:r>
      <w:r w:rsidR="003F697E" w:rsidRPr="00772EC5">
        <w:rPr>
          <w:sz w:val="24"/>
          <w:szCs w:val="24"/>
        </w:rPr>
        <w:t xml:space="preserve">hapter 6, </w:t>
      </w:r>
      <w:r w:rsidR="003F697E" w:rsidRPr="00C17D2E">
        <w:rPr>
          <w:i/>
          <w:sz w:val="24"/>
          <w:szCs w:val="24"/>
        </w:rPr>
        <w:t>Loan Servicing</w:t>
      </w:r>
      <w:r w:rsidR="002D7666">
        <w:rPr>
          <w:rStyle w:val="Hyperlink"/>
          <w:szCs w:val="24"/>
        </w:rPr>
        <w:t>,</w:t>
      </w:r>
      <w:r>
        <w:rPr>
          <w:sz w:val="24"/>
        </w:rPr>
        <w:t xml:space="preserve"> of this Handbook.</w:t>
      </w:r>
    </w:p>
    <w:p w:rsidR="00AE25E9" w:rsidRDefault="00AE25E9">
      <w:pPr>
        <w:widowControl/>
        <w:rPr>
          <w:sz w:val="24"/>
        </w:rPr>
      </w:pPr>
      <w:r>
        <w:rPr>
          <w:sz w:val="24"/>
        </w:rPr>
        <w:br w:type="page"/>
      </w:r>
    </w:p>
    <w:p w:rsidR="00CE7F0C" w:rsidRDefault="00CE7F0C">
      <w:pPr>
        <w:rPr>
          <w:sz w:val="24"/>
        </w:rPr>
      </w:pPr>
      <w:r>
        <w:rPr>
          <w:sz w:val="24"/>
          <w:u w:val="single"/>
        </w:rPr>
        <w:lastRenderedPageBreak/>
        <w:t>Section 4. Debt Portfolio Management</w:t>
      </w:r>
    </w:p>
    <w:p w:rsidR="00CE7F0C" w:rsidRDefault="00CE7F0C">
      <w:pPr>
        <w:rPr>
          <w:sz w:val="24"/>
        </w:rPr>
      </w:pPr>
    </w:p>
    <w:p w:rsidR="00CE7F0C" w:rsidRDefault="00CE7F0C">
      <w:pPr>
        <w:tabs>
          <w:tab w:val="left" w:pos="720"/>
          <w:tab w:val="left" w:pos="1440"/>
        </w:tabs>
        <w:ind w:left="1440" w:hanging="720"/>
        <w:rPr>
          <w:sz w:val="24"/>
        </w:rPr>
      </w:pPr>
      <w:r>
        <w:rPr>
          <w:sz w:val="24"/>
        </w:rPr>
        <w:t>.01</w:t>
      </w:r>
      <w:r>
        <w:rPr>
          <w:sz w:val="24"/>
        </w:rPr>
        <w:tab/>
      </w:r>
      <w:r>
        <w:rPr>
          <w:sz w:val="24"/>
          <w:u w:val="single"/>
        </w:rPr>
        <w:t>Intent and Purpose</w:t>
      </w:r>
    </w:p>
    <w:p w:rsidR="00CE7F0C" w:rsidRDefault="00CE7F0C">
      <w:pPr>
        <w:rPr>
          <w:sz w:val="24"/>
        </w:rPr>
      </w:pPr>
    </w:p>
    <w:p w:rsidR="00CE7F0C" w:rsidRDefault="00CE7F0C" w:rsidP="00CE7F0C">
      <w:pPr>
        <w:ind w:left="1440"/>
        <w:rPr>
          <w:szCs w:val="24"/>
        </w:rPr>
      </w:pPr>
      <w:r>
        <w:rPr>
          <w:sz w:val="24"/>
        </w:rPr>
        <w:t xml:space="preserve">The intent and purpose of periodic debt portfolio reviews are set forth in </w:t>
      </w:r>
      <w:hyperlink r:id="rId15" w:history="1">
        <w:r w:rsidR="00BA0140">
          <w:rPr>
            <w:rStyle w:val="Hyperlink"/>
            <w:i/>
          </w:rPr>
          <w:t>OMB Circular A-129 Revised, Policies for Federal Credit Programs and Non-Tax Receivables, Section IV.C</w:t>
        </w:r>
        <w:r w:rsidR="00FB262B">
          <w:rPr>
            <w:rStyle w:val="Hyperlink"/>
            <w:i/>
          </w:rPr>
          <w:t>.</w:t>
        </w:r>
        <w:r w:rsidR="00BA0140">
          <w:rPr>
            <w:rStyle w:val="Hyperlink"/>
            <w:i/>
          </w:rPr>
          <w:t>, Asset Resolution</w:t>
        </w:r>
      </w:hyperlink>
      <w:r>
        <w:rPr>
          <w:sz w:val="24"/>
        </w:rPr>
        <w:t>,.</w:t>
      </w:r>
      <w:r>
        <w:rPr>
          <w:szCs w:val="24"/>
        </w:rPr>
        <w:t xml:space="preserve"> </w:t>
      </w:r>
    </w:p>
    <w:p w:rsidR="00CE7F0C" w:rsidRDefault="00CE7F0C">
      <w:pPr>
        <w:pStyle w:val="Heading2"/>
        <w:ind w:firstLine="0"/>
        <w:rPr>
          <w:szCs w:val="24"/>
        </w:rPr>
      </w:pPr>
    </w:p>
    <w:p w:rsidR="00CE7F0C" w:rsidRDefault="00CE7F0C">
      <w:pPr>
        <w:tabs>
          <w:tab w:val="left" w:pos="720"/>
          <w:tab w:val="left" w:pos="1440"/>
        </w:tabs>
        <w:ind w:left="1440" w:hanging="720"/>
        <w:rPr>
          <w:sz w:val="24"/>
        </w:rPr>
      </w:pPr>
      <w:r>
        <w:rPr>
          <w:sz w:val="24"/>
        </w:rPr>
        <w:t>.02</w:t>
      </w:r>
      <w:r>
        <w:rPr>
          <w:sz w:val="24"/>
        </w:rPr>
        <w:tab/>
      </w:r>
      <w:r>
        <w:rPr>
          <w:sz w:val="24"/>
          <w:u w:val="single"/>
        </w:rPr>
        <w:t>Annual Portfolio Review</w:t>
      </w:r>
    </w:p>
    <w:p w:rsidR="00CE7F0C" w:rsidRDefault="00CE7F0C">
      <w:pPr>
        <w:rPr>
          <w:sz w:val="24"/>
        </w:rPr>
      </w:pPr>
    </w:p>
    <w:p w:rsidR="00CE7F0C" w:rsidRDefault="00CE7F0C">
      <w:pPr>
        <w:ind w:left="1440"/>
        <w:rPr>
          <w:sz w:val="24"/>
        </w:rPr>
      </w:pPr>
      <w:r>
        <w:rPr>
          <w:sz w:val="24"/>
        </w:rPr>
        <w:t>Organization units will review, at least annually, the economic and legal feasibility of selling all or a portion of their loan portfolio(s).  The review will include current and proposed statutory and regulatory provisions governing loan programs and propose removal of any impediment to loan sales on a non-recourse basis.  When feasible, organization units should sell loans for cash without recourse, repurchase agreement, or other Federal guarantees.  Organization units should consider the sale of loans under present value arrangements to the original borrower.</w:t>
      </w:r>
    </w:p>
    <w:p w:rsidR="00CE7F0C" w:rsidRDefault="00CE7F0C">
      <w:pPr>
        <w:rPr>
          <w:sz w:val="24"/>
        </w:rPr>
      </w:pPr>
    </w:p>
    <w:p w:rsidR="00CE7F0C" w:rsidRDefault="00CE7F0C">
      <w:pPr>
        <w:pStyle w:val="BodyTextIndent"/>
      </w:pPr>
      <w:r>
        <w:t>Proposed sales of loan assets held by organization units will be reported to, and coordinated with</w:t>
      </w:r>
      <w:r w:rsidR="00657107">
        <w:t>,</w:t>
      </w:r>
      <w:r>
        <w:t xml:space="preserve"> </w:t>
      </w:r>
      <w:r w:rsidR="00657107">
        <w:t>OMB and Treasury</w:t>
      </w:r>
      <w:r>
        <w:t>.</w:t>
      </w:r>
    </w:p>
    <w:p w:rsidR="00CE7F0C" w:rsidRDefault="00CE7F0C">
      <w:pPr>
        <w:rPr>
          <w:sz w:val="24"/>
        </w:rPr>
      </w:pPr>
    </w:p>
    <w:p w:rsidR="00CE7F0C" w:rsidRPr="00720F20" w:rsidRDefault="00CE7F0C">
      <w:pPr>
        <w:rPr>
          <w:rStyle w:val="Hyperlink"/>
        </w:rPr>
      </w:pPr>
      <w:r>
        <w:rPr>
          <w:sz w:val="24"/>
          <w:u w:val="single"/>
        </w:rPr>
        <w:t>Section 5. Debt Collection</w:t>
      </w:r>
    </w:p>
    <w:p w:rsidR="00CE7F0C" w:rsidRDefault="00CE7F0C">
      <w:pPr>
        <w:rPr>
          <w:sz w:val="24"/>
        </w:rPr>
      </w:pPr>
    </w:p>
    <w:p w:rsidR="00CE7F0C" w:rsidRDefault="00CE7F0C">
      <w:pPr>
        <w:rPr>
          <w:sz w:val="24"/>
        </w:rPr>
      </w:pPr>
      <w:r>
        <w:rPr>
          <w:sz w:val="24"/>
        </w:rPr>
        <w:t xml:space="preserve">The debt collection procedures and policies provided in </w:t>
      </w:r>
      <w:hyperlink r:id="rId16" w:history="1">
        <w:r w:rsidRPr="00657107">
          <w:rPr>
            <w:rStyle w:val="Hyperlink"/>
            <w:szCs w:val="24"/>
          </w:rPr>
          <w:t>OMB Circular A-129 Revised,</w:t>
        </w:r>
        <w:r w:rsidRPr="00657107">
          <w:rPr>
            <w:rStyle w:val="Hyperlink"/>
            <w:i/>
            <w:szCs w:val="24"/>
          </w:rPr>
          <w:t xml:space="preserve"> Policies for Federal Credit Programs and Non-Tax Receivables</w:t>
        </w:r>
        <w:r>
          <w:rPr>
            <w:rStyle w:val="Hyperlink"/>
          </w:rPr>
          <w:t xml:space="preserve"> </w:t>
        </w:r>
      </w:hyperlink>
      <w:r>
        <w:rPr>
          <w:sz w:val="24"/>
        </w:rPr>
        <w:t>and revised</w:t>
      </w:r>
      <w:r>
        <w:rPr>
          <w:color w:val="FF0000"/>
          <w:sz w:val="24"/>
        </w:rPr>
        <w:t xml:space="preserve"> </w:t>
      </w:r>
      <w:hyperlink r:id="rId17" w:history="1">
        <w:r w:rsidR="003441D1">
          <w:rPr>
            <w:rStyle w:val="Hyperlink"/>
            <w:szCs w:val="24"/>
          </w:rPr>
          <w:t>Federal Claims Collection Standards (FCCS) - Code of Federal Regulations, Title 31, Volume 3, Chapter IX</w:t>
        </w:r>
      </w:hyperlink>
      <w:r w:rsidRPr="00C17D2E">
        <w:rPr>
          <w:sz w:val="24"/>
          <w:szCs w:val="24"/>
        </w:rPr>
        <w:t>, shall apply to all organizational units wit</w:t>
      </w:r>
      <w:r>
        <w:rPr>
          <w:sz w:val="24"/>
        </w:rPr>
        <w:t>hin the Department. The following is an overview of Departmental policy concerning delinquent debt collection. See</w:t>
      </w:r>
      <w:r>
        <w:rPr>
          <w:color w:val="FF0000"/>
          <w:sz w:val="24"/>
        </w:rPr>
        <w:t xml:space="preserve"> </w:t>
      </w:r>
      <w:hyperlink r:id="rId18" w:history="1">
        <w:r>
          <w:rPr>
            <w:rStyle w:val="Hyperlink"/>
          </w:rPr>
          <w:t>Chapter 8</w:t>
        </w:r>
      </w:hyperlink>
      <w:r w:rsidR="00D67815">
        <w:rPr>
          <w:rStyle w:val="Hyperlink"/>
        </w:rPr>
        <w:t xml:space="preserve">, </w:t>
      </w:r>
      <w:r w:rsidR="00D67815">
        <w:rPr>
          <w:rStyle w:val="Hyperlink"/>
          <w:i/>
        </w:rPr>
        <w:t>Delinquency Follow-up,</w:t>
      </w:r>
      <w:r>
        <w:rPr>
          <w:color w:val="FF0000"/>
          <w:sz w:val="24"/>
        </w:rPr>
        <w:t xml:space="preserve"> </w:t>
      </w:r>
      <w:r>
        <w:rPr>
          <w:sz w:val="24"/>
        </w:rPr>
        <w:t>for details.</w:t>
      </w:r>
    </w:p>
    <w:p w:rsidR="00CE7F0C" w:rsidRDefault="00CE7F0C">
      <w:pPr>
        <w:tabs>
          <w:tab w:val="left" w:pos="720"/>
          <w:tab w:val="left" w:pos="1440"/>
        </w:tabs>
        <w:ind w:left="1440" w:hanging="720"/>
        <w:rPr>
          <w:sz w:val="24"/>
        </w:rPr>
      </w:pPr>
    </w:p>
    <w:p w:rsidR="00CE7F0C" w:rsidRDefault="00CE7F0C">
      <w:pPr>
        <w:tabs>
          <w:tab w:val="left" w:pos="720"/>
          <w:tab w:val="left" w:pos="1440"/>
        </w:tabs>
        <w:ind w:left="1440" w:hanging="720"/>
        <w:rPr>
          <w:sz w:val="24"/>
        </w:rPr>
      </w:pPr>
      <w:r>
        <w:rPr>
          <w:sz w:val="24"/>
        </w:rPr>
        <w:t>.01</w:t>
      </w:r>
      <w:r>
        <w:rPr>
          <w:sz w:val="24"/>
        </w:rPr>
        <w:tab/>
      </w:r>
      <w:r>
        <w:rPr>
          <w:sz w:val="24"/>
          <w:u w:val="single"/>
        </w:rPr>
        <w:t>Fair but Aggressive Collection Action</w:t>
      </w:r>
    </w:p>
    <w:p w:rsidR="00CE7F0C" w:rsidRDefault="00CE7F0C">
      <w:pPr>
        <w:rPr>
          <w:sz w:val="24"/>
        </w:rPr>
      </w:pPr>
    </w:p>
    <w:p w:rsidR="00CE7F0C" w:rsidRDefault="00CE7F0C">
      <w:pPr>
        <w:ind w:left="1440"/>
        <w:rPr>
          <w:sz w:val="24"/>
        </w:rPr>
      </w:pPr>
      <w:r>
        <w:rPr>
          <w:sz w:val="24"/>
        </w:rPr>
        <w:t>Each organization unit shall take fair but aggressive collection action on a timely basis with effective follow-up to collect all debts.  One demand letter is required to be sent to the delinquent debtor.  The demand letter will include the applicable standards for imposing any interest, penalties or administrative costs, and appropriate legal notification requirements for collection actions planned by the organization unit, such as offset, referral to Treasury for cross-servicing, referral to the Justice Department for litigation, collection agency referral, and credit bureau reporting.</w:t>
      </w:r>
    </w:p>
    <w:p w:rsidR="00AE25E9" w:rsidRDefault="00AE25E9">
      <w:pPr>
        <w:widowControl/>
        <w:rPr>
          <w:sz w:val="24"/>
        </w:rPr>
      </w:pPr>
      <w:r>
        <w:rPr>
          <w:sz w:val="24"/>
        </w:rPr>
        <w:br w:type="page"/>
      </w:r>
    </w:p>
    <w:p w:rsidR="00CE7F0C" w:rsidRDefault="00CE7F0C">
      <w:pPr>
        <w:tabs>
          <w:tab w:val="left" w:pos="720"/>
          <w:tab w:val="left" w:pos="1440"/>
        </w:tabs>
        <w:ind w:left="1440" w:hanging="720"/>
        <w:rPr>
          <w:sz w:val="24"/>
        </w:rPr>
      </w:pPr>
      <w:r>
        <w:rPr>
          <w:sz w:val="24"/>
        </w:rPr>
        <w:lastRenderedPageBreak/>
        <w:t>.02</w:t>
      </w:r>
      <w:r>
        <w:rPr>
          <w:sz w:val="24"/>
        </w:rPr>
        <w:tab/>
      </w:r>
      <w:r>
        <w:rPr>
          <w:sz w:val="24"/>
          <w:u w:val="single"/>
        </w:rPr>
        <w:t>Private Sector Credit/Debt Collection Resources</w:t>
      </w:r>
    </w:p>
    <w:p w:rsidR="00CE7F0C" w:rsidRDefault="00CE7F0C">
      <w:pPr>
        <w:rPr>
          <w:sz w:val="24"/>
        </w:rPr>
      </w:pPr>
    </w:p>
    <w:p w:rsidR="00CE7F0C" w:rsidRDefault="00CE7F0C">
      <w:pPr>
        <w:ind w:left="1440"/>
        <w:rPr>
          <w:color w:val="FF0000"/>
          <w:sz w:val="24"/>
        </w:rPr>
      </w:pPr>
      <w:r>
        <w:rPr>
          <w:sz w:val="24"/>
        </w:rPr>
        <w:t>To the extent permitted by law, organization units will use private sector resources in judging the credit worthiness of financial assistance applicants.  Organization units will utilize</w:t>
      </w:r>
      <w:r w:rsidR="00BA0140">
        <w:rPr>
          <w:sz w:val="24"/>
        </w:rPr>
        <w:t xml:space="preserve"> Treasury’s</w:t>
      </w:r>
      <w:hyperlink r:id="rId19" w:history="1">
        <w:r w:rsidR="00463694" w:rsidRPr="00463694">
          <w:rPr>
            <w:rStyle w:val="Hyperlink"/>
          </w:rPr>
          <w:t xml:space="preserve"> Bureau of the Fiscal Service</w:t>
        </w:r>
        <w:r w:rsidRPr="00455BFB">
          <w:rPr>
            <w:rStyle w:val="Hyperlink"/>
          </w:rPr>
          <w:t>, Debt Management Services</w:t>
        </w:r>
      </w:hyperlink>
      <w:r>
        <w:rPr>
          <w:sz w:val="24"/>
        </w:rPr>
        <w:t>, which includes the Treasury Offset Program, and Cross-Servicing, for the collection of delinquent claims.  Organization units will also provide, as directed by the Department, commercial and delinquent consumer debt status information to private sector credit reporting bureaus approved by Treasury.  See</w:t>
      </w:r>
      <w:r>
        <w:rPr>
          <w:color w:val="FF0000"/>
          <w:sz w:val="24"/>
        </w:rPr>
        <w:t xml:space="preserve"> </w:t>
      </w:r>
      <w:r w:rsidR="00455BFB" w:rsidRPr="00455BFB">
        <w:rPr>
          <w:sz w:val="24"/>
        </w:rPr>
        <w:t>Chapter 8</w:t>
      </w:r>
      <w:r w:rsidR="00455BFB">
        <w:rPr>
          <w:sz w:val="24"/>
        </w:rPr>
        <w:t xml:space="preserve">, </w:t>
      </w:r>
      <w:r w:rsidR="00455BFB" w:rsidRPr="00455BFB">
        <w:rPr>
          <w:i/>
          <w:sz w:val="24"/>
        </w:rPr>
        <w:t>Delinquency Follow-up</w:t>
      </w:r>
      <w:r w:rsidR="00455BFB">
        <w:rPr>
          <w:sz w:val="24"/>
        </w:rPr>
        <w:t>,</w:t>
      </w:r>
      <w:r>
        <w:rPr>
          <w:color w:val="FF0000"/>
          <w:sz w:val="24"/>
        </w:rPr>
        <w:t xml:space="preserve"> </w:t>
      </w:r>
      <w:r>
        <w:rPr>
          <w:sz w:val="24"/>
        </w:rPr>
        <w:t>for more details.</w:t>
      </w:r>
    </w:p>
    <w:p w:rsidR="00CE7F0C" w:rsidRDefault="00CE7F0C">
      <w:pPr>
        <w:ind w:left="1440"/>
        <w:rPr>
          <w:sz w:val="24"/>
        </w:rPr>
      </w:pPr>
    </w:p>
    <w:p w:rsidR="00CE7F0C" w:rsidRDefault="00CE7F0C">
      <w:pPr>
        <w:keepNext/>
        <w:keepLines/>
        <w:tabs>
          <w:tab w:val="left" w:pos="720"/>
          <w:tab w:val="left" w:pos="1440"/>
        </w:tabs>
        <w:ind w:left="1440" w:hanging="720"/>
        <w:rPr>
          <w:sz w:val="24"/>
        </w:rPr>
      </w:pPr>
      <w:r>
        <w:rPr>
          <w:sz w:val="24"/>
        </w:rPr>
        <w:t>.03</w:t>
      </w:r>
      <w:r>
        <w:rPr>
          <w:sz w:val="24"/>
        </w:rPr>
        <w:tab/>
      </w:r>
      <w:r>
        <w:rPr>
          <w:sz w:val="24"/>
          <w:u w:val="single"/>
        </w:rPr>
        <w:t>Debt Rescheduling and Workout Plans</w:t>
      </w:r>
    </w:p>
    <w:p w:rsidR="00CE7F0C" w:rsidRDefault="00CE7F0C">
      <w:pPr>
        <w:keepNext/>
        <w:keepLines/>
        <w:rPr>
          <w:sz w:val="24"/>
        </w:rPr>
      </w:pPr>
    </w:p>
    <w:p w:rsidR="00CE7F0C" w:rsidRDefault="00CE7F0C">
      <w:pPr>
        <w:keepNext/>
        <w:keepLines/>
        <w:ind w:left="1440"/>
        <w:rPr>
          <w:color w:val="FF0000"/>
          <w:sz w:val="24"/>
        </w:rPr>
      </w:pPr>
      <w:r>
        <w:rPr>
          <w:sz w:val="24"/>
        </w:rPr>
        <w:t xml:space="preserve">Debt </w:t>
      </w:r>
      <w:r w:rsidR="00DD095E">
        <w:rPr>
          <w:sz w:val="24"/>
        </w:rPr>
        <w:t>R</w:t>
      </w:r>
      <w:r>
        <w:rPr>
          <w:sz w:val="24"/>
        </w:rPr>
        <w:t>escheduling and Workout Plans shall be in writing, approved by the appropriate organization unit official, and should be made available upon request from auditors or other Departmental units.</w:t>
      </w:r>
    </w:p>
    <w:p w:rsidR="00CE7F0C" w:rsidRDefault="00CE7F0C">
      <w:pPr>
        <w:keepLines/>
        <w:rPr>
          <w:sz w:val="24"/>
        </w:rPr>
      </w:pPr>
    </w:p>
    <w:p w:rsidR="00CE7F0C" w:rsidRDefault="00CE7F0C">
      <w:pPr>
        <w:tabs>
          <w:tab w:val="left" w:pos="720"/>
          <w:tab w:val="left" w:pos="1440"/>
        </w:tabs>
        <w:ind w:left="1440" w:hanging="720"/>
        <w:rPr>
          <w:sz w:val="24"/>
        </w:rPr>
      </w:pPr>
      <w:r>
        <w:rPr>
          <w:sz w:val="24"/>
        </w:rPr>
        <w:t>.04</w:t>
      </w:r>
      <w:r>
        <w:rPr>
          <w:sz w:val="24"/>
        </w:rPr>
        <w:tab/>
      </w:r>
      <w:r>
        <w:rPr>
          <w:sz w:val="24"/>
          <w:u w:val="single"/>
        </w:rPr>
        <w:t>Delinquent Debts Transferred to Treasury</w:t>
      </w:r>
    </w:p>
    <w:p w:rsidR="00CE7F0C" w:rsidRDefault="00CE7F0C">
      <w:pPr>
        <w:rPr>
          <w:sz w:val="24"/>
        </w:rPr>
      </w:pPr>
    </w:p>
    <w:p w:rsidR="009D4326" w:rsidRDefault="009D4326" w:rsidP="009D4326">
      <w:pPr>
        <w:ind w:left="1440"/>
        <w:rPr>
          <w:sz w:val="24"/>
        </w:rPr>
      </w:pPr>
      <w:r>
        <w:rPr>
          <w:sz w:val="24"/>
        </w:rPr>
        <w:t>As required by</w:t>
      </w:r>
      <w:r w:rsidR="00B44915">
        <w:rPr>
          <w:rStyle w:val="Hyperlink"/>
          <w:bCs/>
          <w:szCs w:val="24"/>
        </w:rPr>
        <w:t xml:space="preserve"> </w:t>
      </w:r>
      <w:hyperlink r:id="rId20" w:history="1">
        <w:r w:rsidR="00B44915" w:rsidRPr="00626BFE">
          <w:rPr>
            <w:rStyle w:val="Hyperlink"/>
            <w:bCs/>
            <w:szCs w:val="24"/>
          </w:rPr>
          <w:t xml:space="preserve">31 U.S.C. 3716, </w:t>
        </w:r>
        <w:r w:rsidR="00B44915" w:rsidRPr="00626BFE">
          <w:rPr>
            <w:rStyle w:val="Hyperlink"/>
            <w:bCs/>
            <w:i/>
            <w:szCs w:val="24"/>
          </w:rPr>
          <w:t>Administrative offset</w:t>
        </w:r>
        <w:r w:rsidR="00B44915" w:rsidRPr="00626BFE">
          <w:rPr>
            <w:rStyle w:val="Hyperlink"/>
            <w:bCs/>
            <w:szCs w:val="24"/>
          </w:rPr>
          <w:t>, (c)(6)</w:t>
        </w:r>
      </w:hyperlink>
      <w:r w:rsidRPr="002C0B56">
        <w:rPr>
          <w:sz w:val="24"/>
          <w:szCs w:val="24"/>
        </w:rPr>
        <w:t>, debts delinquent by mor</w:t>
      </w:r>
      <w:r>
        <w:rPr>
          <w:sz w:val="24"/>
        </w:rPr>
        <w:t xml:space="preserve">e than </w:t>
      </w:r>
      <w:r w:rsidR="00B44915">
        <w:rPr>
          <w:sz w:val="24"/>
        </w:rPr>
        <w:t xml:space="preserve">120 </w:t>
      </w:r>
      <w:r>
        <w:rPr>
          <w:sz w:val="24"/>
        </w:rPr>
        <w:t xml:space="preserve">days must be referred to Treasury for </w:t>
      </w:r>
      <w:r w:rsidR="00CE11F4">
        <w:rPr>
          <w:sz w:val="24"/>
        </w:rPr>
        <w:t>administrative offset</w:t>
      </w:r>
      <w:r>
        <w:rPr>
          <w:sz w:val="24"/>
        </w:rPr>
        <w:t>.</w:t>
      </w:r>
      <w:r w:rsidR="00CE11F4">
        <w:rPr>
          <w:sz w:val="24"/>
        </w:rPr>
        <w:t xml:space="preserve"> Department of Commerce is cross serviced by Treasury for administrative offset</w:t>
      </w:r>
      <w:r w:rsidR="006935E7">
        <w:rPr>
          <w:sz w:val="24"/>
        </w:rPr>
        <w:t>. A</w:t>
      </w:r>
      <w:r w:rsidR="00CE11F4">
        <w:rPr>
          <w:sz w:val="24"/>
        </w:rPr>
        <w:t xml:space="preserve">s a result, </w:t>
      </w:r>
      <w:r w:rsidR="006935E7">
        <w:rPr>
          <w:sz w:val="24"/>
        </w:rPr>
        <w:t xml:space="preserve">effective October 1, 2015, </w:t>
      </w:r>
      <w:r w:rsidR="00CE11F4">
        <w:rPr>
          <w:sz w:val="24"/>
        </w:rPr>
        <w:t>all debts delinquent by more than 120 days must be referred to Treasury for cross-servicing, which will allow for referrals to Treasury for administrative offset.</w:t>
      </w:r>
      <w:r>
        <w:rPr>
          <w:sz w:val="24"/>
        </w:rPr>
        <w:t xml:space="preserve">  </w:t>
      </w:r>
    </w:p>
    <w:p w:rsidR="009D4326" w:rsidRDefault="009D4326" w:rsidP="009D4326">
      <w:pPr>
        <w:rPr>
          <w:sz w:val="24"/>
        </w:rPr>
      </w:pPr>
    </w:p>
    <w:p w:rsidR="00CE7F0C" w:rsidRDefault="009D4326" w:rsidP="009D4326">
      <w:pPr>
        <w:ind w:left="1440"/>
        <w:rPr>
          <w:sz w:val="24"/>
        </w:rPr>
      </w:pPr>
      <w:r>
        <w:rPr>
          <w:sz w:val="24"/>
        </w:rPr>
        <w:t>If a debt is not referred to Treasury, the reason(s) for non-referral shall be documented by the responsible organizational unit.  Such documentation shall be available for inspection by the Department as needed.</w:t>
      </w:r>
    </w:p>
    <w:sectPr w:rsidR="00CE7F0C">
      <w:headerReference w:type="even" r:id="rId21"/>
      <w:headerReference w:type="default" r:id="rId22"/>
      <w:footnotePr>
        <w:numRestart w:val="eachSect"/>
      </w:footnotePr>
      <w:endnotePr>
        <w:numFmt w:val="decimal"/>
      </w:endnotePr>
      <w:type w:val="continuous"/>
      <w:pgSz w:w="12240" w:h="15840"/>
      <w:pgMar w:top="1296" w:right="1440" w:bottom="162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DA7" w:rsidRDefault="00633DA7">
      <w:r>
        <w:separator/>
      </w:r>
    </w:p>
  </w:endnote>
  <w:endnote w:type="continuationSeparator" w:id="0">
    <w:p w:rsidR="00633DA7" w:rsidRDefault="0063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DA7" w:rsidRDefault="00633DA7">
      <w:r>
        <w:separator/>
      </w:r>
    </w:p>
  </w:footnote>
  <w:footnote w:type="continuationSeparator" w:id="0">
    <w:p w:rsidR="00633DA7" w:rsidRDefault="0063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0C" w:rsidRDefault="00CE7F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F0C" w:rsidRDefault="00CE7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0C" w:rsidRPr="006F2995" w:rsidRDefault="00271B12" w:rsidP="00271B12">
    <w:pPr>
      <w:tabs>
        <w:tab w:val="center" w:pos="4680"/>
        <w:tab w:val="right" w:pos="9360"/>
      </w:tabs>
    </w:pPr>
    <w:r>
      <w:tab/>
    </w:r>
    <w:r w:rsidR="006558B0">
      <w:t>3</w:t>
    </w:r>
    <w:r w:rsidR="006558B0" w:rsidRPr="00607273">
      <w:t>-</w:t>
    </w:r>
    <w:r w:rsidR="006558B0" w:rsidRPr="00607273">
      <w:pgNum/>
    </w:r>
    <w:r>
      <w:tab/>
    </w:r>
    <w:r w:rsidR="00CE7F0C" w:rsidRPr="006F2995">
      <w:t xml:space="preserve">Revised: </w:t>
    </w:r>
    <w:r w:rsidR="000D2615">
      <w:t>10</w:t>
    </w:r>
    <w:r w:rsidR="00CE7F0C" w:rsidRPr="006F2995">
      <w:t>/20</w:t>
    </w:r>
    <w:r w:rsidR="006F2995">
      <w:t>1</w:t>
    </w:r>
    <w:r w:rsidR="00490BCC">
      <w:t>5</w:t>
    </w:r>
  </w:p>
  <w:p w:rsidR="00CE7F0C" w:rsidRDefault="00CE7F0C">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DA7"/>
    <w:multiLevelType w:val="singleLevel"/>
    <w:tmpl w:val="F06E72BE"/>
    <w:lvl w:ilvl="0">
      <w:start w:val="1"/>
      <w:numFmt w:val="lowerLetter"/>
      <w:lvlText w:val="%1."/>
      <w:lvlJc w:val="left"/>
      <w:pPr>
        <w:tabs>
          <w:tab w:val="num" w:pos="360"/>
        </w:tabs>
        <w:ind w:left="360" w:hanging="360"/>
      </w:pPr>
      <w:rPr>
        <w:rFonts w:ascii="Courier New" w:hAnsi="Courier New" w:hint="default"/>
        <w:sz w:val="24"/>
      </w:rPr>
    </w:lvl>
  </w:abstractNum>
  <w:abstractNum w:abstractNumId="1" w15:restartNumberingAfterBreak="0">
    <w:nsid w:val="268337E7"/>
    <w:multiLevelType w:val="multilevel"/>
    <w:tmpl w:val="A972093C"/>
    <w:lvl w:ilvl="0">
      <w:start w:val="1"/>
      <w:numFmt w:val="lowerLetter"/>
      <w:lvlText w:val="%1."/>
      <w:legacy w:legacy="1" w:legacySpace="0" w:legacyIndent="2160"/>
      <w:lvlJc w:val="left"/>
      <w:pPr>
        <w:ind w:left="2160" w:hanging="2160"/>
      </w:pPr>
    </w:lvl>
    <w:lvl w:ilvl="1">
      <w:start w:val="1"/>
      <w:numFmt w:val="lowerLetter"/>
      <w:lvlText w:val="%2."/>
      <w:legacy w:legacy="1" w:legacySpace="0" w:legacyIndent="2160"/>
      <w:lvlJc w:val="left"/>
      <w:pPr>
        <w:ind w:left="4320" w:hanging="2160"/>
      </w:pPr>
    </w:lvl>
    <w:lvl w:ilvl="2">
      <w:start w:val="1"/>
      <w:numFmt w:val="lowerLetter"/>
      <w:lvlText w:val="%3."/>
      <w:legacy w:legacy="1" w:legacySpace="0" w:legacyIndent="2160"/>
      <w:lvlJc w:val="left"/>
      <w:pPr>
        <w:ind w:left="6480" w:hanging="2160"/>
      </w:pPr>
    </w:lvl>
    <w:lvl w:ilvl="3">
      <w:start w:val="1"/>
      <w:numFmt w:val="lowerLetter"/>
      <w:lvlText w:val="%4."/>
      <w:legacy w:legacy="1" w:legacySpace="0" w:legacyIndent="2160"/>
      <w:lvlJc w:val="left"/>
      <w:pPr>
        <w:ind w:left="8640" w:hanging="2160"/>
      </w:pPr>
    </w:lvl>
    <w:lvl w:ilvl="4">
      <w:start w:val="1"/>
      <w:numFmt w:val="lowerLetter"/>
      <w:lvlText w:val="%5."/>
      <w:legacy w:legacy="1" w:legacySpace="0" w:legacyIndent="2160"/>
      <w:lvlJc w:val="left"/>
      <w:pPr>
        <w:ind w:left="10800" w:hanging="2160"/>
      </w:pPr>
    </w:lvl>
    <w:lvl w:ilvl="5">
      <w:start w:val="1"/>
      <w:numFmt w:val="lowerLetter"/>
      <w:lvlText w:val="%6."/>
      <w:legacy w:legacy="1" w:legacySpace="0" w:legacyIndent="2160"/>
      <w:lvlJc w:val="left"/>
      <w:pPr>
        <w:ind w:left="12960" w:hanging="2160"/>
      </w:pPr>
    </w:lvl>
    <w:lvl w:ilvl="6">
      <w:start w:val="1"/>
      <w:numFmt w:val="lowerLetter"/>
      <w:lvlText w:val="%7."/>
      <w:legacy w:legacy="1" w:legacySpace="0" w:legacyIndent="2160"/>
      <w:lvlJc w:val="left"/>
      <w:pPr>
        <w:ind w:left="15120" w:hanging="2160"/>
      </w:pPr>
    </w:lvl>
    <w:lvl w:ilvl="7">
      <w:start w:val="1"/>
      <w:numFmt w:val="lowerLetter"/>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 w15:restartNumberingAfterBreak="0">
    <w:nsid w:val="30C77E60"/>
    <w:multiLevelType w:val="multilevel"/>
    <w:tmpl w:val="1A5CB972"/>
    <w:lvl w:ilvl="0">
      <w:start w:val="1"/>
      <w:numFmt w:val="lowerLetter"/>
      <w:lvlText w:val="%1."/>
      <w:lvlJc w:val="left"/>
      <w:pPr>
        <w:tabs>
          <w:tab w:val="num" w:pos="2160"/>
        </w:tabs>
        <w:ind w:left="2160" w:hanging="720"/>
      </w:pPr>
      <w:rPr>
        <w:rFonts w:hint="default"/>
        <w:strike w:val="0"/>
        <w:color w:val="auto"/>
      </w:rPr>
    </w:lvl>
    <w:lvl w:ilvl="1">
      <w:start w:val="1"/>
      <w:numFmt w:val="lowerLetter"/>
      <w:lvlText w:val="%2."/>
      <w:legacy w:legacy="1" w:legacySpace="0" w:legacyIndent="2160"/>
      <w:lvlJc w:val="left"/>
      <w:pPr>
        <w:ind w:left="4320" w:hanging="2160"/>
      </w:pPr>
    </w:lvl>
    <w:lvl w:ilvl="2">
      <w:start w:val="1"/>
      <w:numFmt w:val="lowerLetter"/>
      <w:lvlText w:val="%3."/>
      <w:legacy w:legacy="1" w:legacySpace="0" w:legacyIndent="2160"/>
      <w:lvlJc w:val="left"/>
      <w:pPr>
        <w:ind w:left="6480" w:hanging="2160"/>
      </w:pPr>
    </w:lvl>
    <w:lvl w:ilvl="3">
      <w:start w:val="1"/>
      <w:numFmt w:val="lowerLetter"/>
      <w:lvlText w:val="%4."/>
      <w:legacy w:legacy="1" w:legacySpace="0" w:legacyIndent="2160"/>
      <w:lvlJc w:val="left"/>
      <w:pPr>
        <w:ind w:left="8640" w:hanging="2160"/>
      </w:pPr>
    </w:lvl>
    <w:lvl w:ilvl="4">
      <w:start w:val="1"/>
      <w:numFmt w:val="lowerLetter"/>
      <w:lvlText w:val="%5."/>
      <w:legacy w:legacy="1" w:legacySpace="0" w:legacyIndent="2160"/>
      <w:lvlJc w:val="left"/>
      <w:pPr>
        <w:ind w:left="10800" w:hanging="2160"/>
      </w:pPr>
    </w:lvl>
    <w:lvl w:ilvl="5">
      <w:start w:val="1"/>
      <w:numFmt w:val="lowerLetter"/>
      <w:lvlText w:val="%6."/>
      <w:legacy w:legacy="1" w:legacySpace="0" w:legacyIndent="2160"/>
      <w:lvlJc w:val="left"/>
      <w:pPr>
        <w:ind w:left="12960" w:hanging="2160"/>
      </w:pPr>
    </w:lvl>
    <w:lvl w:ilvl="6">
      <w:start w:val="1"/>
      <w:numFmt w:val="lowerLetter"/>
      <w:lvlText w:val="%7."/>
      <w:legacy w:legacy="1" w:legacySpace="0" w:legacyIndent="2160"/>
      <w:lvlJc w:val="left"/>
      <w:pPr>
        <w:ind w:left="15120" w:hanging="2160"/>
      </w:pPr>
    </w:lvl>
    <w:lvl w:ilvl="7">
      <w:start w:val="1"/>
      <w:numFmt w:val="lowerLetter"/>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3" w15:restartNumberingAfterBreak="0">
    <w:nsid w:val="3E2D0186"/>
    <w:multiLevelType w:val="multilevel"/>
    <w:tmpl w:val="A972093C"/>
    <w:lvl w:ilvl="0">
      <w:start w:val="1"/>
      <w:numFmt w:val="lowerLetter"/>
      <w:lvlText w:val="%1."/>
      <w:legacy w:legacy="1" w:legacySpace="0" w:legacyIndent="2160"/>
      <w:lvlJc w:val="left"/>
      <w:pPr>
        <w:ind w:left="2160" w:hanging="2160"/>
      </w:pPr>
    </w:lvl>
    <w:lvl w:ilvl="1">
      <w:start w:val="1"/>
      <w:numFmt w:val="lowerLetter"/>
      <w:lvlText w:val="%2."/>
      <w:legacy w:legacy="1" w:legacySpace="0" w:legacyIndent="2160"/>
      <w:lvlJc w:val="left"/>
      <w:pPr>
        <w:ind w:left="4320" w:hanging="2160"/>
      </w:pPr>
    </w:lvl>
    <w:lvl w:ilvl="2">
      <w:start w:val="1"/>
      <w:numFmt w:val="lowerLetter"/>
      <w:lvlText w:val="%3."/>
      <w:legacy w:legacy="1" w:legacySpace="0" w:legacyIndent="2160"/>
      <w:lvlJc w:val="left"/>
      <w:pPr>
        <w:ind w:left="6480" w:hanging="2160"/>
      </w:pPr>
    </w:lvl>
    <w:lvl w:ilvl="3">
      <w:start w:val="1"/>
      <w:numFmt w:val="lowerLetter"/>
      <w:lvlText w:val="%4."/>
      <w:legacy w:legacy="1" w:legacySpace="0" w:legacyIndent="2160"/>
      <w:lvlJc w:val="left"/>
      <w:pPr>
        <w:ind w:left="8640" w:hanging="2160"/>
      </w:pPr>
    </w:lvl>
    <w:lvl w:ilvl="4">
      <w:start w:val="1"/>
      <w:numFmt w:val="lowerLetter"/>
      <w:lvlText w:val="%5."/>
      <w:legacy w:legacy="1" w:legacySpace="0" w:legacyIndent="2160"/>
      <w:lvlJc w:val="left"/>
      <w:pPr>
        <w:ind w:left="10800" w:hanging="2160"/>
      </w:pPr>
    </w:lvl>
    <w:lvl w:ilvl="5">
      <w:start w:val="1"/>
      <w:numFmt w:val="lowerLetter"/>
      <w:lvlText w:val="%6."/>
      <w:legacy w:legacy="1" w:legacySpace="0" w:legacyIndent="2160"/>
      <w:lvlJc w:val="left"/>
      <w:pPr>
        <w:ind w:left="12960" w:hanging="2160"/>
      </w:pPr>
    </w:lvl>
    <w:lvl w:ilvl="6">
      <w:start w:val="1"/>
      <w:numFmt w:val="lowerLetter"/>
      <w:lvlText w:val="%7."/>
      <w:legacy w:legacy="1" w:legacySpace="0" w:legacyIndent="2160"/>
      <w:lvlJc w:val="left"/>
      <w:pPr>
        <w:ind w:left="15120" w:hanging="2160"/>
      </w:pPr>
    </w:lvl>
    <w:lvl w:ilvl="7">
      <w:start w:val="1"/>
      <w:numFmt w:val="lowerLetter"/>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4" w15:restartNumberingAfterBreak="0">
    <w:nsid w:val="4BA67019"/>
    <w:multiLevelType w:val="multilevel"/>
    <w:tmpl w:val="A972093C"/>
    <w:lvl w:ilvl="0">
      <w:start w:val="1"/>
      <w:numFmt w:val="lowerLetter"/>
      <w:lvlText w:val="%1."/>
      <w:legacy w:legacy="1" w:legacySpace="0" w:legacyIndent="2160"/>
      <w:lvlJc w:val="left"/>
      <w:pPr>
        <w:ind w:left="2160" w:hanging="2160"/>
      </w:pPr>
    </w:lvl>
    <w:lvl w:ilvl="1">
      <w:start w:val="1"/>
      <w:numFmt w:val="lowerLetter"/>
      <w:lvlText w:val="%2."/>
      <w:legacy w:legacy="1" w:legacySpace="0" w:legacyIndent="2160"/>
      <w:lvlJc w:val="left"/>
      <w:pPr>
        <w:ind w:left="4320" w:hanging="2160"/>
      </w:pPr>
    </w:lvl>
    <w:lvl w:ilvl="2">
      <w:start w:val="1"/>
      <w:numFmt w:val="lowerLetter"/>
      <w:lvlText w:val="%3."/>
      <w:legacy w:legacy="1" w:legacySpace="0" w:legacyIndent="2160"/>
      <w:lvlJc w:val="left"/>
      <w:pPr>
        <w:ind w:left="6480" w:hanging="2160"/>
      </w:pPr>
    </w:lvl>
    <w:lvl w:ilvl="3">
      <w:start w:val="1"/>
      <w:numFmt w:val="lowerLetter"/>
      <w:lvlText w:val="%4."/>
      <w:legacy w:legacy="1" w:legacySpace="0" w:legacyIndent="2160"/>
      <w:lvlJc w:val="left"/>
      <w:pPr>
        <w:ind w:left="8640" w:hanging="2160"/>
      </w:pPr>
    </w:lvl>
    <w:lvl w:ilvl="4">
      <w:start w:val="1"/>
      <w:numFmt w:val="lowerLetter"/>
      <w:lvlText w:val="%5."/>
      <w:legacy w:legacy="1" w:legacySpace="0" w:legacyIndent="2160"/>
      <w:lvlJc w:val="left"/>
      <w:pPr>
        <w:ind w:left="10800" w:hanging="2160"/>
      </w:pPr>
    </w:lvl>
    <w:lvl w:ilvl="5">
      <w:start w:val="1"/>
      <w:numFmt w:val="lowerLetter"/>
      <w:lvlText w:val="%6."/>
      <w:legacy w:legacy="1" w:legacySpace="0" w:legacyIndent="2160"/>
      <w:lvlJc w:val="left"/>
      <w:pPr>
        <w:ind w:left="12960" w:hanging="2160"/>
      </w:pPr>
    </w:lvl>
    <w:lvl w:ilvl="6">
      <w:start w:val="1"/>
      <w:numFmt w:val="lowerLetter"/>
      <w:lvlText w:val="%7."/>
      <w:legacy w:legacy="1" w:legacySpace="0" w:legacyIndent="2160"/>
      <w:lvlJc w:val="left"/>
      <w:pPr>
        <w:ind w:left="15120" w:hanging="2160"/>
      </w:pPr>
    </w:lvl>
    <w:lvl w:ilvl="7">
      <w:start w:val="1"/>
      <w:numFmt w:val="lowerLetter"/>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5" w15:restartNumberingAfterBreak="0">
    <w:nsid w:val="77F30085"/>
    <w:multiLevelType w:val="multilevel"/>
    <w:tmpl w:val="A972093C"/>
    <w:lvl w:ilvl="0">
      <w:start w:val="1"/>
      <w:numFmt w:val="lowerLetter"/>
      <w:lvlText w:val="%1."/>
      <w:legacy w:legacy="1" w:legacySpace="0" w:legacyIndent="2160"/>
      <w:lvlJc w:val="left"/>
      <w:pPr>
        <w:ind w:left="2160" w:hanging="2160"/>
      </w:pPr>
    </w:lvl>
    <w:lvl w:ilvl="1">
      <w:start w:val="1"/>
      <w:numFmt w:val="lowerLetter"/>
      <w:lvlText w:val="%2."/>
      <w:legacy w:legacy="1" w:legacySpace="0" w:legacyIndent="2160"/>
      <w:lvlJc w:val="left"/>
      <w:pPr>
        <w:ind w:left="4320" w:hanging="2160"/>
      </w:pPr>
    </w:lvl>
    <w:lvl w:ilvl="2">
      <w:start w:val="1"/>
      <w:numFmt w:val="lowerLetter"/>
      <w:lvlText w:val="%3."/>
      <w:legacy w:legacy="1" w:legacySpace="0" w:legacyIndent="2160"/>
      <w:lvlJc w:val="left"/>
      <w:pPr>
        <w:ind w:left="6480" w:hanging="2160"/>
      </w:pPr>
    </w:lvl>
    <w:lvl w:ilvl="3">
      <w:start w:val="1"/>
      <w:numFmt w:val="lowerLetter"/>
      <w:lvlText w:val="%4."/>
      <w:legacy w:legacy="1" w:legacySpace="0" w:legacyIndent="2160"/>
      <w:lvlJc w:val="left"/>
      <w:pPr>
        <w:ind w:left="8640" w:hanging="2160"/>
      </w:pPr>
    </w:lvl>
    <w:lvl w:ilvl="4">
      <w:start w:val="1"/>
      <w:numFmt w:val="lowerLetter"/>
      <w:lvlText w:val="%5."/>
      <w:legacy w:legacy="1" w:legacySpace="0" w:legacyIndent="2160"/>
      <w:lvlJc w:val="left"/>
      <w:pPr>
        <w:ind w:left="10800" w:hanging="2160"/>
      </w:pPr>
    </w:lvl>
    <w:lvl w:ilvl="5">
      <w:start w:val="1"/>
      <w:numFmt w:val="lowerLetter"/>
      <w:lvlText w:val="%6."/>
      <w:legacy w:legacy="1" w:legacySpace="0" w:legacyIndent="2160"/>
      <w:lvlJc w:val="left"/>
      <w:pPr>
        <w:ind w:left="12960" w:hanging="2160"/>
      </w:pPr>
    </w:lvl>
    <w:lvl w:ilvl="6">
      <w:start w:val="1"/>
      <w:numFmt w:val="lowerLetter"/>
      <w:lvlText w:val="%7."/>
      <w:legacy w:legacy="1" w:legacySpace="0" w:legacyIndent="2160"/>
      <w:lvlJc w:val="left"/>
      <w:pPr>
        <w:ind w:left="15120" w:hanging="2160"/>
      </w:pPr>
    </w:lvl>
    <w:lvl w:ilvl="7">
      <w:start w:val="1"/>
      <w:numFmt w:val="lowerLetter"/>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427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2C"/>
    <w:rsid w:val="00047D4B"/>
    <w:rsid w:val="000D2615"/>
    <w:rsid w:val="000D2D7C"/>
    <w:rsid w:val="0010654C"/>
    <w:rsid w:val="00271B12"/>
    <w:rsid w:val="002D7666"/>
    <w:rsid w:val="00303951"/>
    <w:rsid w:val="003441D1"/>
    <w:rsid w:val="003F697E"/>
    <w:rsid w:val="00455BFB"/>
    <w:rsid w:val="00463694"/>
    <w:rsid w:val="00490BCC"/>
    <w:rsid w:val="004F047B"/>
    <w:rsid w:val="004F32AD"/>
    <w:rsid w:val="0052393E"/>
    <w:rsid w:val="00552BE7"/>
    <w:rsid w:val="005831EC"/>
    <w:rsid w:val="00626BFE"/>
    <w:rsid w:val="00633DA7"/>
    <w:rsid w:val="006558B0"/>
    <w:rsid w:val="00657107"/>
    <w:rsid w:val="00673193"/>
    <w:rsid w:val="006935E7"/>
    <w:rsid w:val="006B579C"/>
    <w:rsid w:val="006D4205"/>
    <w:rsid w:val="006F2995"/>
    <w:rsid w:val="00720F20"/>
    <w:rsid w:val="00772EC5"/>
    <w:rsid w:val="007A6989"/>
    <w:rsid w:val="00862D95"/>
    <w:rsid w:val="008912FA"/>
    <w:rsid w:val="00891792"/>
    <w:rsid w:val="008B6F2C"/>
    <w:rsid w:val="009108C7"/>
    <w:rsid w:val="009C0D09"/>
    <w:rsid w:val="009D4326"/>
    <w:rsid w:val="00A726A3"/>
    <w:rsid w:val="00AE25E9"/>
    <w:rsid w:val="00AF594F"/>
    <w:rsid w:val="00B44915"/>
    <w:rsid w:val="00BA0140"/>
    <w:rsid w:val="00C17D2E"/>
    <w:rsid w:val="00C54FA6"/>
    <w:rsid w:val="00C70A0D"/>
    <w:rsid w:val="00CC5E00"/>
    <w:rsid w:val="00CE11F4"/>
    <w:rsid w:val="00CE7F0C"/>
    <w:rsid w:val="00D67815"/>
    <w:rsid w:val="00DD095E"/>
    <w:rsid w:val="00E02466"/>
    <w:rsid w:val="00F57D19"/>
    <w:rsid w:val="00F74449"/>
    <w:rsid w:val="00FB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3820E66"/>
  <w15:docId w15:val="{E9F9FD18-4635-484E-8207-C5E668E1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F20"/>
    <w:pPr>
      <w:widowControl w:val="0"/>
    </w:pPr>
    <w:rPr>
      <w:snapToGrid w:val="0"/>
    </w:rPr>
  </w:style>
  <w:style w:type="paragraph" w:styleId="Heading1">
    <w:name w:val="heading 1"/>
    <w:basedOn w:val="Normal"/>
    <w:next w:val="Normal"/>
    <w:qFormat/>
    <w:pPr>
      <w:keepNext/>
      <w:jc w:val="center"/>
      <w:outlineLvl w:val="0"/>
    </w:pPr>
    <w:rPr>
      <w:color w:val="FF0000"/>
      <w:sz w:val="40"/>
      <w:szCs w:val="40"/>
    </w:rPr>
  </w:style>
  <w:style w:type="paragraph" w:styleId="Heading2">
    <w:name w:val="heading 2"/>
    <w:basedOn w:val="Normal"/>
    <w:next w:val="Normal"/>
    <w:qFormat/>
    <w:pPr>
      <w:keepNext/>
      <w:ind w:firstLine="144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ind w:left="-1440"/>
      <w:jc w:val="both"/>
    </w:pPr>
    <w:rPr>
      <w:snapToGrid w:val="0"/>
      <w:sz w:val="24"/>
    </w:rPr>
  </w:style>
  <w:style w:type="paragraph" w:customStyle="1" w:styleId="3AutoList1">
    <w:name w:val="3AutoList1"/>
    <w:pPr>
      <w:widowControl w:val="0"/>
      <w:ind w:left="-1440"/>
      <w:jc w:val="both"/>
    </w:pPr>
    <w:rPr>
      <w:snapToGrid w:val="0"/>
      <w:sz w:val="24"/>
    </w:rPr>
  </w:style>
  <w:style w:type="paragraph" w:customStyle="1" w:styleId="4AutoList1">
    <w:name w:val="4AutoList1"/>
    <w:pPr>
      <w:widowControl w:val="0"/>
      <w:ind w:left="-1440"/>
      <w:jc w:val="both"/>
    </w:pPr>
    <w:rPr>
      <w:snapToGrid w:val="0"/>
      <w:sz w:val="24"/>
    </w:rPr>
  </w:style>
  <w:style w:type="paragraph" w:customStyle="1" w:styleId="5AutoList1">
    <w:name w:val="5AutoList1"/>
    <w:pPr>
      <w:widowControl w:val="0"/>
      <w:ind w:left="-1440"/>
      <w:jc w:val="both"/>
    </w:pPr>
    <w:rPr>
      <w:snapToGrid w:val="0"/>
      <w:sz w:val="24"/>
    </w:rPr>
  </w:style>
  <w:style w:type="paragraph" w:customStyle="1" w:styleId="6AutoList1">
    <w:name w:val="6AutoList1"/>
    <w:pPr>
      <w:widowControl w:val="0"/>
      <w:ind w:left="-1440"/>
      <w:jc w:val="both"/>
    </w:pPr>
    <w:rPr>
      <w:snapToGrid w:val="0"/>
      <w:sz w:val="24"/>
    </w:rPr>
  </w:style>
  <w:style w:type="paragraph" w:customStyle="1" w:styleId="7AutoList1">
    <w:name w:val="7AutoList1"/>
    <w:pPr>
      <w:widowControl w:val="0"/>
      <w:ind w:left="-1440"/>
      <w:jc w:val="both"/>
    </w:pPr>
    <w:rPr>
      <w:snapToGrid w:val="0"/>
      <w:sz w:val="24"/>
    </w:rPr>
  </w:style>
  <w:style w:type="paragraph" w:customStyle="1" w:styleId="8AutoList1">
    <w:name w:val="8AutoList1"/>
    <w:pPr>
      <w:widowControl w:val="0"/>
      <w:ind w:left="-1440"/>
      <w:jc w:val="both"/>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ind w:left="1440"/>
    </w:pPr>
    <w:rPr>
      <w:sz w:val="24"/>
    </w:rPr>
  </w:style>
  <w:style w:type="character" w:styleId="Hyperlink">
    <w:name w:val="Hyperlink"/>
    <w:semiHidden/>
    <w:rsid w:val="00720F20"/>
    <w:rPr>
      <w:rFonts w:ascii="Times New Roman" w:hAnsi="Times New Roman"/>
      <w:b w:val="0"/>
      <w:i w:val="0"/>
      <w:sz w:val="24"/>
      <w:u w:val="single"/>
    </w:rPr>
  </w:style>
  <w:style w:type="paragraph" w:styleId="Title">
    <w:name w:val="Title"/>
    <w:basedOn w:val="Normal"/>
    <w:qFormat/>
    <w:pPr>
      <w:jc w:val="center"/>
    </w:pPr>
    <w:rPr>
      <w:rFonts w:ascii="Courier New" w:hAnsi="Courier New"/>
      <w:sz w:val="24"/>
    </w:r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Revision">
    <w:name w:val="Revision"/>
    <w:hidden/>
    <w:uiPriority w:val="99"/>
    <w:semiHidden/>
    <w:rsid w:val="00C17D2E"/>
    <w:rPr>
      <w:snapToGrid w:val="0"/>
    </w:rPr>
  </w:style>
  <w:style w:type="character" w:customStyle="1" w:styleId="BodyTextIndentChar">
    <w:name w:val="Body Text Indent Char"/>
    <w:basedOn w:val="DefaultParagraphFont"/>
    <w:link w:val="BodyTextIndent"/>
    <w:semiHidden/>
    <w:rsid w:val="00720F20"/>
    <w:rPr>
      <w:snapToGrid w:val="0"/>
      <w:sz w:val="24"/>
    </w:rPr>
  </w:style>
  <w:style w:type="character" w:customStyle="1" w:styleId="HeaderChar">
    <w:name w:val="Header Char"/>
    <w:basedOn w:val="DefaultParagraphFont"/>
    <w:link w:val="Header"/>
    <w:uiPriority w:val="99"/>
    <w:rsid w:val="00271B12"/>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pog/dmp/daos.html" TargetMode="External"/><Relationship Id="rId13" Type="http://schemas.openxmlformats.org/officeDocument/2006/relationships/hyperlink" Target="http://tfm.fiscal.treasury.gov/home.html" TargetMode="External"/><Relationship Id="rId18" Type="http://schemas.openxmlformats.org/officeDocument/2006/relationships/hyperlink" Target="http://www.osec.doc.gov/ofm/credit/cover.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osec.doc.gov/opog/dmp/doos.html" TargetMode="External"/><Relationship Id="rId12" Type="http://schemas.openxmlformats.org/officeDocument/2006/relationships/hyperlink" Target="https://www.fiscal.treasury.gov/files/dms/federal-credit-bureau-guide.pdf" TargetMode="External"/><Relationship Id="rId17" Type="http://schemas.openxmlformats.org/officeDocument/2006/relationships/hyperlink" Target="http://www.ecfr.gov/cgi-bin/text-idx?&amp;tpl=/ecfrbrowse/Title31/31tab_02.tpl" TargetMode="External"/><Relationship Id="rId2" Type="http://schemas.openxmlformats.org/officeDocument/2006/relationships/styles" Target="styles.xml"/><Relationship Id="rId16" Type="http://schemas.openxmlformats.org/officeDocument/2006/relationships/hyperlink" Target="https://www.whitehouse.gov/omb/information-for-agencies/circulars/" TargetMode="External"/><Relationship Id="rId20" Type="http://schemas.openxmlformats.org/officeDocument/2006/relationships/hyperlink" Target="http://uscode.hous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omb/information-for-agencies/circula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hitehouse.gov/omb/information-for-agencies/circulars/" TargetMode="External"/><Relationship Id="rId23" Type="http://schemas.openxmlformats.org/officeDocument/2006/relationships/fontTable" Target="fontTable.xml"/><Relationship Id="rId10" Type="http://schemas.openxmlformats.org/officeDocument/2006/relationships/hyperlink" Target="https://www.whitehouse.gov/omb/information-for-agencies/circulars/" TargetMode="External"/><Relationship Id="rId19" Type="http://schemas.openxmlformats.org/officeDocument/2006/relationships/hyperlink" Target="https://fiscal.treasury.gov/dms/" TargetMode="External"/><Relationship Id="rId4" Type="http://schemas.openxmlformats.org/officeDocument/2006/relationships/webSettings" Target="webSettings.xml"/><Relationship Id="rId9" Type="http://schemas.openxmlformats.org/officeDocument/2006/relationships/hyperlink" Target="http://www.osec.doc.gov/ofm/credit/cover.html" TargetMode="External"/><Relationship Id="rId14" Type="http://schemas.openxmlformats.org/officeDocument/2006/relationships/hyperlink" Target="https://www.whitehouse.gov/omb/information-for-agencies/circular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918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CREDIT AND DEBT MANAGEMENT</vt:lpstr>
    </vt:vector>
  </TitlesOfParts>
  <Company>OFPA</Company>
  <LinksUpToDate>false</LinksUpToDate>
  <CharactersWithSpaces>7562</CharactersWithSpaces>
  <SharedDoc>false</SharedDoc>
  <HLinks>
    <vt:vector size="108" baseType="variant">
      <vt:variant>
        <vt:i4>720960</vt:i4>
      </vt:variant>
      <vt:variant>
        <vt:i4>50</vt:i4>
      </vt:variant>
      <vt:variant>
        <vt:i4>0</vt:i4>
      </vt:variant>
      <vt:variant>
        <vt:i4>5</vt:i4>
      </vt:variant>
      <vt:variant>
        <vt:lpwstr>http://www.fms.treas.gov/debt/dmdcia.txt</vt:lpwstr>
      </vt:variant>
      <vt:variant>
        <vt:lpwstr/>
      </vt:variant>
      <vt:variant>
        <vt:i4>720960</vt:i4>
      </vt:variant>
      <vt:variant>
        <vt:i4>48</vt:i4>
      </vt:variant>
      <vt:variant>
        <vt:i4>0</vt:i4>
      </vt:variant>
      <vt:variant>
        <vt:i4>5</vt:i4>
      </vt:variant>
      <vt:variant>
        <vt:lpwstr>http://www.fms.treas.gov/debt/dmdcia.txt</vt:lpwstr>
      </vt:variant>
      <vt:variant>
        <vt:lpwstr/>
      </vt:variant>
      <vt:variant>
        <vt:i4>4653124</vt:i4>
      </vt:variant>
      <vt:variant>
        <vt:i4>45</vt:i4>
      </vt:variant>
      <vt:variant>
        <vt:i4>0</vt:i4>
      </vt:variant>
      <vt:variant>
        <vt:i4>5</vt:i4>
      </vt:variant>
      <vt:variant>
        <vt:lpwstr>http://www.osec.doc.gov/ofm/credit/cover.htm</vt:lpwstr>
      </vt:variant>
      <vt:variant>
        <vt:lpwstr/>
      </vt:variant>
      <vt:variant>
        <vt:i4>6553727</vt:i4>
      </vt:variant>
      <vt:variant>
        <vt:i4>42</vt:i4>
      </vt:variant>
      <vt:variant>
        <vt:i4>0</vt:i4>
      </vt:variant>
      <vt:variant>
        <vt:i4>5</vt:i4>
      </vt:variant>
      <vt:variant>
        <vt:lpwstr>http://www.fms.treas.gov/debt/</vt:lpwstr>
      </vt:variant>
      <vt:variant>
        <vt:lpwstr/>
      </vt:variant>
      <vt:variant>
        <vt:i4>4653124</vt:i4>
      </vt:variant>
      <vt:variant>
        <vt:i4>39</vt:i4>
      </vt:variant>
      <vt:variant>
        <vt:i4>0</vt:i4>
      </vt:variant>
      <vt:variant>
        <vt:i4>5</vt:i4>
      </vt:variant>
      <vt:variant>
        <vt:lpwstr>http://www.osec.doc.gov/ofm/credit/cover.htm</vt:lpwstr>
      </vt:variant>
      <vt:variant>
        <vt:lpwstr/>
      </vt:variant>
      <vt:variant>
        <vt:i4>1310739</vt:i4>
      </vt:variant>
      <vt:variant>
        <vt:i4>36</vt:i4>
      </vt:variant>
      <vt:variant>
        <vt:i4>0</vt:i4>
      </vt:variant>
      <vt:variant>
        <vt:i4>5</vt:i4>
      </vt:variant>
      <vt:variant>
        <vt:lpwstr>http://www.access.gpo.gov/nara/cfr/waisidx_04/31cfrv2_04.html</vt:lpwstr>
      </vt:variant>
      <vt:variant>
        <vt:lpwstr>201</vt:lpwstr>
      </vt:variant>
      <vt:variant>
        <vt:i4>4390953</vt:i4>
      </vt:variant>
      <vt:variant>
        <vt:i4>33</vt:i4>
      </vt:variant>
      <vt:variant>
        <vt:i4>0</vt:i4>
      </vt:variant>
      <vt:variant>
        <vt:i4>5</vt:i4>
      </vt:variant>
      <vt:variant>
        <vt:lpwstr>http://www.whitehouse.gov/omb/circulars_default</vt:lpwstr>
      </vt:variant>
      <vt:variant>
        <vt:lpwstr/>
      </vt:variant>
      <vt:variant>
        <vt:i4>4390953</vt:i4>
      </vt:variant>
      <vt:variant>
        <vt:i4>30</vt:i4>
      </vt:variant>
      <vt:variant>
        <vt:i4>0</vt:i4>
      </vt:variant>
      <vt:variant>
        <vt:i4>5</vt:i4>
      </vt:variant>
      <vt:variant>
        <vt:lpwstr>http://www.whitehouse.gov/omb/circulars_default</vt:lpwstr>
      </vt:variant>
      <vt:variant>
        <vt:lpwstr/>
      </vt:variant>
      <vt:variant>
        <vt:i4>4653124</vt:i4>
      </vt:variant>
      <vt:variant>
        <vt:i4>27</vt:i4>
      </vt:variant>
      <vt:variant>
        <vt:i4>0</vt:i4>
      </vt:variant>
      <vt:variant>
        <vt:i4>5</vt:i4>
      </vt:variant>
      <vt:variant>
        <vt:lpwstr>http://www.osec.doc.gov/ofm/credit/cover.htm</vt:lpwstr>
      </vt:variant>
      <vt:variant>
        <vt:lpwstr/>
      </vt:variant>
      <vt:variant>
        <vt:i4>4390953</vt:i4>
      </vt:variant>
      <vt:variant>
        <vt:i4>24</vt:i4>
      </vt:variant>
      <vt:variant>
        <vt:i4>0</vt:i4>
      </vt:variant>
      <vt:variant>
        <vt:i4>5</vt:i4>
      </vt:variant>
      <vt:variant>
        <vt:lpwstr>http://www.whitehouse.gov/omb/circulars_default</vt:lpwstr>
      </vt:variant>
      <vt:variant>
        <vt:lpwstr/>
      </vt:variant>
      <vt:variant>
        <vt:i4>2359414</vt:i4>
      </vt:variant>
      <vt:variant>
        <vt:i4>21</vt:i4>
      </vt:variant>
      <vt:variant>
        <vt:i4>0</vt:i4>
      </vt:variant>
      <vt:variant>
        <vt:i4>5</vt:i4>
      </vt:variant>
      <vt:variant>
        <vt:lpwstr>http://www.fms.treas.gov/tfm/index.html</vt:lpwstr>
      </vt:variant>
      <vt:variant>
        <vt:lpwstr/>
      </vt:variant>
      <vt:variant>
        <vt:i4>6357024</vt:i4>
      </vt:variant>
      <vt:variant>
        <vt:i4>18</vt:i4>
      </vt:variant>
      <vt:variant>
        <vt:i4>0</vt:i4>
      </vt:variant>
      <vt:variant>
        <vt:i4>5</vt:i4>
      </vt:variant>
      <vt:variant>
        <vt:lpwstr>http://www.fms.treas.gov/tfm/vol1/supp.html</vt:lpwstr>
      </vt:variant>
      <vt:variant>
        <vt:lpwstr/>
      </vt:variant>
      <vt:variant>
        <vt:i4>5374023</vt:i4>
      </vt:variant>
      <vt:variant>
        <vt:i4>15</vt:i4>
      </vt:variant>
      <vt:variant>
        <vt:i4>0</vt:i4>
      </vt:variant>
      <vt:variant>
        <vt:i4>5</vt:i4>
      </vt:variant>
      <vt:variant>
        <vt:lpwstr>http://www.fasab.gov/accounting-standards/authoritative-source-of-gaap/accounting-standards/</vt:lpwstr>
      </vt:variant>
      <vt:variant>
        <vt:lpwstr/>
      </vt:variant>
      <vt:variant>
        <vt:i4>4390953</vt:i4>
      </vt:variant>
      <vt:variant>
        <vt:i4>12</vt:i4>
      </vt:variant>
      <vt:variant>
        <vt:i4>0</vt:i4>
      </vt:variant>
      <vt:variant>
        <vt:i4>5</vt:i4>
      </vt:variant>
      <vt:variant>
        <vt:lpwstr>http://www.whitehouse.gov/omb/circulars_default</vt:lpwstr>
      </vt:variant>
      <vt:variant>
        <vt:lpwstr/>
      </vt:variant>
      <vt:variant>
        <vt:i4>4390953</vt:i4>
      </vt:variant>
      <vt:variant>
        <vt:i4>9</vt:i4>
      </vt:variant>
      <vt:variant>
        <vt:i4>0</vt:i4>
      </vt:variant>
      <vt:variant>
        <vt:i4>5</vt:i4>
      </vt:variant>
      <vt:variant>
        <vt:lpwstr>http://www.whitehouse.gov/omb/circulars_default</vt:lpwstr>
      </vt:variant>
      <vt:variant>
        <vt:lpwstr/>
      </vt:variant>
      <vt:variant>
        <vt:i4>4653124</vt:i4>
      </vt:variant>
      <vt:variant>
        <vt:i4>6</vt:i4>
      </vt:variant>
      <vt:variant>
        <vt:i4>0</vt:i4>
      </vt:variant>
      <vt:variant>
        <vt:i4>5</vt:i4>
      </vt:variant>
      <vt:variant>
        <vt:lpwstr>http://www.osec.doc.gov/ofm/credit/cover.htm</vt:lpwstr>
      </vt:variant>
      <vt:variant>
        <vt:lpwstr/>
      </vt:variant>
      <vt:variant>
        <vt:i4>720905</vt:i4>
      </vt:variant>
      <vt:variant>
        <vt:i4>3</vt:i4>
      </vt:variant>
      <vt:variant>
        <vt:i4>0</vt:i4>
      </vt:variant>
      <vt:variant>
        <vt:i4>5</vt:i4>
      </vt:variant>
      <vt:variant>
        <vt:lpwstr>http://www.osec.doc.gov/opog/dmp/default.htm</vt:lpwstr>
      </vt:variant>
      <vt:variant>
        <vt:lpwstr/>
      </vt:variant>
      <vt:variant>
        <vt:i4>720905</vt:i4>
      </vt:variant>
      <vt:variant>
        <vt:i4>0</vt:i4>
      </vt:variant>
      <vt:variant>
        <vt:i4>0</vt:i4>
      </vt:variant>
      <vt:variant>
        <vt:i4>5</vt:i4>
      </vt:variant>
      <vt:variant>
        <vt:lpwstr>http://www.osec.doc.gov/opog/dmp/default.htm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AND DEBT MANAGEMENT</dc:title>
  <dc:creator>DNguyen</dc:creator>
  <cp:lastModifiedBy>Fuller, John (Detailee/Intern)</cp:lastModifiedBy>
  <cp:revision>7</cp:revision>
  <cp:lastPrinted>2015-10-01T16:51:00Z</cp:lastPrinted>
  <dcterms:created xsi:type="dcterms:W3CDTF">2019-05-20T15:44:00Z</dcterms:created>
  <dcterms:modified xsi:type="dcterms:W3CDTF">2019-07-08T14:36:00Z</dcterms:modified>
</cp:coreProperties>
</file>