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05B" w:rsidRPr="003B2C0B" w:rsidRDefault="00A862B1" w:rsidP="004228EF">
      <w:pPr>
        <w:ind w:left="1170" w:right="1080"/>
        <w:rPr>
          <w:rFonts w:ascii="Arial" w:hAnsi="Arial" w:cs="Arial"/>
          <w:b/>
          <w:color w:val="161617"/>
          <w:sz w:val="22"/>
          <w:szCs w:val="22"/>
          <w:u w:val="single"/>
        </w:rPr>
      </w:pPr>
      <w:r w:rsidRPr="003B2C0B">
        <w:rPr>
          <w:rFonts w:ascii="Arial" w:hAnsi="Arial" w:cs="Arial"/>
          <w:b/>
          <w:color w:val="161617"/>
          <w:sz w:val="22"/>
          <w:szCs w:val="22"/>
          <w:u w:val="single"/>
        </w:rPr>
        <w:t xml:space="preserve">Condensed </w:t>
      </w:r>
      <w:r w:rsidR="00C2589F">
        <w:rPr>
          <w:rFonts w:ascii="Arial" w:hAnsi="Arial" w:cs="Arial"/>
          <w:b/>
          <w:color w:val="161617"/>
          <w:sz w:val="22"/>
          <w:szCs w:val="22"/>
          <w:u w:val="single"/>
        </w:rPr>
        <w:t xml:space="preserve">Financial </w:t>
      </w:r>
      <w:r w:rsidRPr="003B2C0B">
        <w:rPr>
          <w:rFonts w:ascii="Arial" w:hAnsi="Arial" w:cs="Arial"/>
          <w:b/>
          <w:color w:val="161617"/>
          <w:sz w:val="22"/>
          <w:szCs w:val="22"/>
          <w:u w:val="single"/>
        </w:rPr>
        <w:t>Reporting Requirements for Q</w:t>
      </w:r>
      <w:r w:rsidR="00200257" w:rsidRPr="003B2C0B">
        <w:rPr>
          <w:rFonts w:ascii="Arial" w:hAnsi="Arial" w:cs="Arial"/>
          <w:b/>
          <w:color w:val="161617"/>
          <w:sz w:val="22"/>
          <w:szCs w:val="22"/>
          <w:u w:val="single"/>
        </w:rPr>
        <w:t>1</w:t>
      </w:r>
      <w:r w:rsidRPr="003B2C0B">
        <w:rPr>
          <w:rFonts w:ascii="Arial" w:hAnsi="Arial" w:cs="Arial"/>
          <w:b/>
          <w:color w:val="161617"/>
          <w:sz w:val="22"/>
          <w:szCs w:val="22"/>
          <w:u w:val="single"/>
        </w:rPr>
        <w:t xml:space="preserve"> FY </w:t>
      </w:r>
      <w:r w:rsidR="00DA54C8">
        <w:rPr>
          <w:rFonts w:ascii="Arial" w:hAnsi="Arial" w:cs="Arial"/>
          <w:b/>
          <w:color w:val="161617"/>
          <w:sz w:val="22"/>
          <w:szCs w:val="22"/>
          <w:u w:val="single"/>
        </w:rPr>
        <w:t>2020</w:t>
      </w:r>
    </w:p>
    <w:p w:rsidR="00907EC7" w:rsidRPr="003B2C0B" w:rsidRDefault="00907EC7" w:rsidP="004228EF">
      <w:pPr>
        <w:ind w:left="1170" w:right="1080"/>
        <w:rPr>
          <w:rFonts w:ascii="Arial" w:hAnsi="Arial" w:cs="Arial"/>
          <w:b/>
          <w:color w:val="161617"/>
          <w:sz w:val="22"/>
          <w:szCs w:val="22"/>
          <w:u w:val="single"/>
        </w:rPr>
      </w:pPr>
    </w:p>
    <w:p w:rsidR="00C246E6" w:rsidRPr="002458BD" w:rsidRDefault="00C246E6" w:rsidP="002F7868">
      <w:pPr>
        <w:numPr>
          <w:ilvl w:val="0"/>
          <w:numId w:val="16"/>
        </w:numPr>
        <w:tabs>
          <w:tab w:val="clear" w:pos="1800"/>
          <w:tab w:val="left" w:pos="1440"/>
          <w:tab w:val="num" w:pos="2250"/>
        </w:tabs>
        <w:ind w:left="1440" w:right="1080" w:hanging="270"/>
        <w:rPr>
          <w:rFonts w:ascii="Arial" w:hAnsi="Arial" w:cs="Arial"/>
          <w:color w:val="161617"/>
          <w:sz w:val="22"/>
          <w:szCs w:val="22"/>
        </w:rPr>
      </w:pPr>
      <w:r w:rsidRPr="002458BD">
        <w:rPr>
          <w:rFonts w:ascii="Arial" w:hAnsi="Arial" w:cs="Arial"/>
          <w:b/>
          <w:color w:val="161617"/>
          <w:sz w:val="22"/>
          <w:szCs w:val="22"/>
        </w:rPr>
        <w:t>HFM</w:t>
      </w:r>
      <w:r w:rsidRPr="002458BD">
        <w:rPr>
          <w:rFonts w:ascii="Arial" w:hAnsi="Arial" w:cs="Arial"/>
          <w:color w:val="161617"/>
          <w:sz w:val="22"/>
          <w:szCs w:val="22"/>
        </w:rPr>
        <w:t xml:space="preserve"> </w:t>
      </w:r>
      <w:r w:rsidR="002458BD" w:rsidRPr="002458BD">
        <w:rPr>
          <w:rFonts w:ascii="Arial" w:hAnsi="Arial" w:cs="Arial"/>
          <w:color w:val="161617"/>
          <w:sz w:val="22"/>
          <w:szCs w:val="22"/>
        </w:rPr>
        <w:t>data</w:t>
      </w:r>
      <w:r w:rsidRPr="002458BD">
        <w:rPr>
          <w:rFonts w:ascii="Arial" w:hAnsi="Arial" w:cs="Arial"/>
          <w:color w:val="161617"/>
          <w:sz w:val="22"/>
          <w:szCs w:val="22"/>
        </w:rPr>
        <w:t xml:space="preserve"> – upload </w:t>
      </w:r>
      <w:r w:rsidR="0064765C" w:rsidRPr="002458BD">
        <w:rPr>
          <w:rFonts w:ascii="Arial" w:hAnsi="Arial" w:cs="Arial"/>
          <w:b/>
          <w:color w:val="161617"/>
          <w:sz w:val="22"/>
          <w:szCs w:val="22"/>
        </w:rPr>
        <w:t>E</w:t>
      </w:r>
      <w:r w:rsidR="00EB06C2" w:rsidRPr="002458BD">
        <w:rPr>
          <w:rFonts w:ascii="Arial" w:hAnsi="Arial" w:cs="Arial"/>
          <w:b/>
          <w:color w:val="161617"/>
          <w:sz w:val="22"/>
          <w:szCs w:val="22"/>
        </w:rPr>
        <w:t xml:space="preserve">xpanded </w:t>
      </w:r>
      <w:r w:rsidR="0064765C" w:rsidRPr="002458BD">
        <w:rPr>
          <w:rFonts w:ascii="Arial" w:hAnsi="Arial" w:cs="Arial"/>
          <w:b/>
          <w:color w:val="161617"/>
          <w:sz w:val="22"/>
          <w:szCs w:val="22"/>
        </w:rPr>
        <w:t>T</w:t>
      </w:r>
      <w:r w:rsidR="00EB06C2" w:rsidRPr="002458BD">
        <w:rPr>
          <w:rFonts w:ascii="Arial" w:hAnsi="Arial" w:cs="Arial"/>
          <w:b/>
          <w:color w:val="161617"/>
          <w:sz w:val="22"/>
          <w:szCs w:val="22"/>
        </w:rPr>
        <w:t xml:space="preserve">rial </w:t>
      </w:r>
      <w:r w:rsidR="0064765C" w:rsidRPr="002458BD">
        <w:rPr>
          <w:rFonts w:ascii="Arial" w:hAnsi="Arial" w:cs="Arial"/>
          <w:b/>
          <w:color w:val="161617"/>
          <w:sz w:val="22"/>
          <w:szCs w:val="22"/>
        </w:rPr>
        <w:t>B</w:t>
      </w:r>
      <w:r w:rsidR="00EB06C2" w:rsidRPr="002458BD">
        <w:rPr>
          <w:rFonts w:ascii="Arial" w:hAnsi="Arial" w:cs="Arial"/>
          <w:b/>
          <w:color w:val="161617"/>
          <w:sz w:val="22"/>
          <w:szCs w:val="22"/>
        </w:rPr>
        <w:t xml:space="preserve">alance </w:t>
      </w:r>
      <w:r w:rsidRPr="002458BD">
        <w:rPr>
          <w:rFonts w:ascii="Arial" w:hAnsi="Arial" w:cs="Arial"/>
          <w:color w:val="161617"/>
          <w:sz w:val="22"/>
          <w:szCs w:val="22"/>
        </w:rPr>
        <w:t xml:space="preserve">files </w:t>
      </w:r>
      <w:r w:rsidR="00EB06C2" w:rsidRPr="002458BD">
        <w:rPr>
          <w:rFonts w:ascii="Arial" w:hAnsi="Arial" w:cs="Arial"/>
          <w:color w:val="161617"/>
          <w:sz w:val="22"/>
          <w:szCs w:val="22"/>
        </w:rPr>
        <w:t>and</w:t>
      </w:r>
      <w:r w:rsidRPr="002458BD">
        <w:rPr>
          <w:rFonts w:ascii="Arial" w:hAnsi="Arial" w:cs="Arial"/>
          <w:b/>
          <w:color w:val="161617"/>
          <w:sz w:val="22"/>
          <w:szCs w:val="22"/>
        </w:rPr>
        <w:t xml:space="preserve"> </w:t>
      </w:r>
      <w:r w:rsidRPr="002458BD">
        <w:rPr>
          <w:rFonts w:ascii="Arial" w:hAnsi="Arial" w:cs="Arial"/>
          <w:color w:val="161617"/>
          <w:sz w:val="22"/>
          <w:szCs w:val="22"/>
        </w:rPr>
        <w:t xml:space="preserve">enter </w:t>
      </w:r>
      <w:r w:rsidR="00EB06C2" w:rsidRPr="002458BD">
        <w:rPr>
          <w:rFonts w:ascii="Arial" w:hAnsi="Arial" w:cs="Arial"/>
          <w:color w:val="161617"/>
          <w:sz w:val="22"/>
          <w:szCs w:val="22"/>
        </w:rPr>
        <w:t xml:space="preserve">supplemental data submission form </w:t>
      </w:r>
      <w:r w:rsidR="00F048AD">
        <w:rPr>
          <w:rFonts w:ascii="Arial" w:hAnsi="Arial" w:cs="Arial"/>
          <w:color w:val="161617"/>
          <w:sz w:val="22"/>
          <w:szCs w:val="22"/>
        </w:rPr>
        <w:t>input</w:t>
      </w:r>
      <w:r w:rsidR="00EB06C2" w:rsidRPr="002458BD">
        <w:rPr>
          <w:rFonts w:ascii="Arial" w:hAnsi="Arial" w:cs="Arial"/>
          <w:color w:val="161617"/>
          <w:sz w:val="22"/>
          <w:szCs w:val="22"/>
        </w:rPr>
        <w:t xml:space="preserve"> for</w:t>
      </w:r>
      <w:r w:rsidR="0064765C" w:rsidRPr="002458BD">
        <w:rPr>
          <w:rFonts w:ascii="Arial" w:hAnsi="Arial" w:cs="Arial"/>
          <w:color w:val="161617"/>
          <w:sz w:val="22"/>
          <w:szCs w:val="22"/>
        </w:rPr>
        <w:t xml:space="preserve"> </w:t>
      </w:r>
      <w:r w:rsidR="0064765C" w:rsidRPr="002458BD">
        <w:rPr>
          <w:rFonts w:ascii="Arial" w:hAnsi="Arial" w:cs="Arial"/>
          <w:b/>
          <w:color w:val="161617"/>
          <w:sz w:val="22"/>
          <w:szCs w:val="22"/>
        </w:rPr>
        <w:t>DOL</w:t>
      </w:r>
      <w:r w:rsidR="004228EF" w:rsidRPr="002458BD">
        <w:rPr>
          <w:rFonts w:ascii="Arial" w:hAnsi="Arial" w:cs="Arial"/>
          <w:b/>
          <w:color w:val="161617"/>
          <w:sz w:val="22"/>
          <w:szCs w:val="22"/>
        </w:rPr>
        <w:t xml:space="preserve"> </w:t>
      </w:r>
      <w:r w:rsidR="00EB06C2" w:rsidRPr="002458BD">
        <w:rPr>
          <w:rFonts w:ascii="Arial" w:hAnsi="Arial" w:cs="Arial"/>
          <w:b/>
          <w:color w:val="161617"/>
          <w:sz w:val="22"/>
          <w:szCs w:val="22"/>
        </w:rPr>
        <w:t>and</w:t>
      </w:r>
      <w:r w:rsidR="004228EF" w:rsidRPr="002458BD">
        <w:rPr>
          <w:rFonts w:ascii="Arial" w:hAnsi="Arial" w:cs="Arial"/>
          <w:b/>
          <w:color w:val="161617"/>
          <w:sz w:val="22"/>
          <w:szCs w:val="22"/>
        </w:rPr>
        <w:t xml:space="preserve"> </w:t>
      </w:r>
      <w:r w:rsidR="0064765C" w:rsidRPr="002458BD">
        <w:rPr>
          <w:rFonts w:ascii="Arial" w:hAnsi="Arial" w:cs="Arial"/>
          <w:b/>
          <w:color w:val="161617"/>
          <w:sz w:val="22"/>
          <w:szCs w:val="22"/>
        </w:rPr>
        <w:t>OPM Confirmations</w:t>
      </w:r>
      <w:r w:rsidR="0064765C" w:rsidRPr="002458BD">
        <w:rPr>
          <w:rFonts w:ascii="Arial" w:hAnsi="Arial" w:cs="Arial"/>
          <w:color w:val="161617"/>
          <w:sz w:val="22"/>
          <w:szCs w:val="22"/>
        </w:rPr>
        <w:t xml:space="preserve"> </w:t>
      </w:r>
      <w:r w:rsidRPr="002458BD">
        <w:rPr>
          <w:rFonts w:ascii="Arial" w:hAnsi="Arial" w:cs="Arial"/>
          <w:color w:val="161617"/>
          <w:sz w:val="22"/>
          <w:szCs w:val="22"/>
        </w:rPr>
        <w:t xml:space="preserve">and </w:t>
      </w:r>
      <w:r w:rsidRPr="002458BD">
        <w:rPr>
          <w:rFonts w:ascii="Arial" w:hAnsi="Arial" w:cs="Arial"/>
          <w:b/>
          <w:color w:val="161617"/>
          <w:sz w:val="22"/>
          <w:szCs w:val="22"/>
        </w:rPr>
        <w:t xml:space="preserve">Improper Payments  </w:t>
      </w:r>
    </w:p>
    <w:p w:rsidR="002458BD" w:rsidRPr="002458BD" w:rsidRDefault="002458BD" w:rsidP="002458BD">
      <w:pPr>
        <w:tabs>
          <w:tab w:val="left" w:pos="1440"/>
        </w:tabs>
        <w:ind w:left="1440" w:right="1080"/>
        <w:rPr>
          <w:rFonts w:ascii="Arial" w:hAnsi="Arial" w:cs="Arial"/>
          <w:color w:val="161617"/>
          <w:sz w:val="22"/>
          <w:szCs w:val="22"/>
        </w:rPr>
      </w:pPr>
    </w:p>
    <w:p w:rsidR="002458BD" w:rsidRPr="00C246E6" w:rsidRDefault="002458BD" w:rsidP="005D3BD7">
      <w:pPr>
        <w:numPr>
          <w:ilvl w:val="0"/>
          <w:numId w:val="16"/>
        </w:numPr>
        <w:tabs>
          <w:tab w:val="clear" w:pos="1800"/>
          <w:tab w:val="left" w:pos="1440"/>
          <w:tab w:val="num" w:pos="2250"/>
        </w:tabs>
        <w:ind w:left="1440" w:right="720" w:hanging="270"/>
        <w:rPr>
          <w:rFonts w:ascii="Arial" w:hAnsi="Arial" w:cs="Arial"/>
          <w:color w:val="161617"/>
          <w:sz w:val="22"/>
          <w:szCs w:val="22"/>
        </w:rPr>
      </w:pPr>
      <w:r w:rsidRPr="00C246E6">
        <w:rPr>
          <w:rFonts w:ascii="Arial" w:hAnsi="Arial" w:cs="Arial"/>
          <w:b/>
          <w:color w:val="161617"/>
          <w:sz w:val="22"/>
          <w:szCs w:val="22"/>
        </w:rPr>
        <w:t xml:space="preserve">SF133 </w:t>
      </w:r>
      <w:r>
        <w:rPr>
          <w:rFonts w:ascii="Arial" w:hAnsi="Arial" w:cs="Arial"/>
          <w:color w:val="161617"/>
          <w:sz w:val="22"/>
          <w:szCs w:val="22"/>
        </w:rPr>
        <w:t xml:space="preserve">– HFM supplemental data submission input </w:t>
      </w:r>
      <w:r w:rsidRPr="00C246E6">
        <w:rPr>
          <w:rFonts w:ascii="Arial" w:hAnsi="Arial" w:cs="Arial"/>
          <w:b/>
          <w:i/>
          <w:color w:val="161617"/>
          <w:sz w:val="22"/>
          <w:szCs w:val="22"/>
          <w:u w:val="single"/>
        </w:rPr>
        <w:t>not</w:t>
      </w:r>
      <w:r w:rsidRPr="00C246E6">
        <w:rPr>
          <w:rFonts w:ascii="Arial" w:hAnsi="Arial" w:cs="Arial"/>
          <w:b/>
          <w:color w:val="161617"/>
          <w:sz w:val="22"/>
          <w:szCs w:val="22"/>
        </w:rPr>
        <w:t xml:space="preserve"> required </w:t>
      </w:r>
      <w:r>
        <w:rPr>
          <w:rFonts w:ascii="Arial" w:hAnsi="Arial" w:cs="Arial"/>
          <w:color w:val="161617"/>
          <w:sz w:val="22"/>
          <w:szCs w:val="22"/>
        </w:rPr>
        <w:t xml:space="preserve">for Q1 FY 2020 </w:t>
      </w:r>
    </w:p>
    <w:p w:rsidR="00C246E6" w:rsidRPr="002458BD" w:rsidRDefault="00C246E6" w:rsidP="00C246E6">
      <w:pPr>
        <w:tabs>
          <w:tab w:val="left" w:pos="1440"/>
          <w:tab w:val="num" w:pos="2250"/>
        </w:tabs>
        <w:ind w:left="1440" w:right="1080" w:hanging="270"/>
        <w:rPr>
          <w:rFonts w:ascii="Arial" w:hAnsi="Arial" w:cs="Arial"/>
          <w:color w:val="161617"/>
          <w:sz w:val="22"/>
          <w:szCs w:val="22"/>
        </w:rPr>
      </w:pPr>
    </w:p>
    <w:p w:rsidR="00C246E6" w:rsidRDefault="00C246E6" w:rsidP="0065784C">
      <w:pPr>
        <w:numPr>
          <w:ilvl w:val="0"/>
          <w:numId w:val="16"/>
        </w:numPr>
        <w:tabs>
          <w:tab w:val="clear" w:pos="1800"/>
          <w:tab w:val="left" w:pos="1440"/>
          <w:tab w:val="num" w:pos="2250"/>
        </w:tabs>
        <w:ind w:left="1440" w:right="1080" w:hanging="270"/>
        <w:rPr>
          <w:rFonts w:ascii="Arial" w:hAnsi="Arial" w:cs="Arial"/>
          <w:color w:val="161617"/>
          <w:sz w:val="22"/>
          <w:szCs w:val="22"/>
        </w:rPr>
      </w:pPr>
      <w:r w:rsidRPr="00F048AD">
        <w:rPr>
          <w:rFonts w:ascii="Arial" w:hAnsi="Arial" w:cs="Arial"/>
          <w:b/>
          <w:color w:val="161617"/>
          <w:sz w:val="22"/>
          <w:szCs w:val="22"/>
        </w:rPr>
        <w:t>Improper Payment</w:t>
      </w:r>
      <w:r w:rsidRPr="00F048AD">
        <w:rPr>
          <w:rFonts w:ascii="Arial" w:hAnsi="Arial" w:cs="Arial"/>
          <w:b/>
          <w:color w:val="583200"/>
          <w:sz w:val="22"/>
          <w:szCs w:val="22"/>
        </w:rPr>
        <w:t xml:space="preserve"> </w:t>
      </w:r>
      <w:r w:rsidRPr="00F048AD">
        <w:rPr>
          <w:rFonts w:ascii="Arial" w:hAnsi="Arial" w:cs="Arial"/>
          <w:color w:val="583200"/>
          <w:sz w:val="22"/>
          <w:szCs w:val="22"/>
        </w:rPr>
        <w:t xml:space="preserve">– </w:t>
      </w:r>
      <w:r w:rsidR="002458BD" w:rsidRPr="00F048AD">
        <w:rPr>
          <w:rFonts w:ascii="Arial" w:hAnsi="Arial" w:cs="Arial"/>
          <w:color w:val="161617"/>
          <w:sz w:val="22"/>
          <w:szCs w:val="22"/>
        </w:rPr>
        <w:t xml:space="preserve">submit </w:t>
      </w:r>
      <w:r w:rsidR="002458BD" w:rsidRPr="00F048AD">
        <w:rPr>
          <w:rFonts w:ascii="Arial" w:hAnsi="Arial" w:cs="Arial"/>
          <w:i/>
          <w:color w:val="161617"/>
          <w:sz w:val="22"/>
          <w:szCs w:val="22"/>
        </w:rPr>
        <w:t>Manual Submission of Answers to Improper Payments Questions</w:t>
      </w:r>
      <w:r w:rsidR="00222910">
        <w:rPr>
          <w:rFonts w:ascii="Arial" w:hAnsi="Arial" w:cs="Arial"/>
          <w:color w:val="161617"/>
          <w:sz w:val="22"/>
          <w:szCs w:val="22"/>
        </w:rPr>
        <w:t xml:space="preserve"> (</w:t>
      </w:r>
      <w:r w:rsidR="005D3BD7">
        <w:rPr>
          <w:rFonts w:ascii="Arial" w:hAnsi="Arial" w:cs="Arial"/>
          <w:color w:val="161617"/>
          <w:sz w:val="22"/>
          <w:szCs w:val="22"/>
        </w:rPr>
        <w:t xml:space="preserve">using </w:t>
      </w:r>
      <w:r w:rsidR="00222910">
        <w:rPr>
          <w:rFonts w:ascii="Arial" w:hAnsi="Arial" w:cs="Arial"/>
          <w:color w:val="161617"/>
          <w:sz w:val="22"/>
          <w:szCs w:val="22"/>
        </w:rPr>
        <w:t>template)</w:t>
      </w:r>
      <w:r w:rsidR="002458BD" w:rsidRPr="00F048AD">
        <w:rPr>
          <w:rFonts w:ascii="Arial" w:hAnsi="Arial" w:cs="Arial"/>
          <w:i/>
          <w:color w:val="161617"/>
          <w:sz w:val="22"/>
          <w:szCs w:val="22"/>
        </w:rPr>
        <w:t>,</w:t>
      </w:r>
      <w:r w:rsidRPr="00F048AD">
        <w:rPr>
          <w:rFonts w:ascii="Arial" w:hAnsi="Arial" w:cs="Arial"/>
          <w:color w:val="161617"/>
          <w:sz w:val="22"/>
          <w:szCs w:val="22"/>
        </w:rPr>
        <w:t xml:space="preserve"> per Attachment </w:t>
      </w:r>
      <w:r w:rsidR="002458BD" w:rsidRPr="00F048AD">
        <w:rPr>
          <w:rFonts w:ascii="Arial" w:hAnsi="Arial" w:cs="Arial"/>
          <w:color w:val="161617"/>
          <w:sz w:val="22"/>
          <w:szCs w:val="22"/>
        </w:rPr>
        <w:t>K</w:t>
      </w:r>
      <w:r w:rsidR="005D3BD7">
        <w:rPr>
          <w:rFonts w:ascii="Arial" w:hAnsi="Arial" w:cs="Arial"/>
          <w:color w:val="161617"/>
          <w:sz w:val="22"/>
          <w:szCs w:val="22"/>
        </w:rPr>
        <w:t>,</w:t>
      </w:r>
      <w:r w:rsidR="002458BD" w:rsidRPr="00F048AD">
        <w:rPr>
          <w:rFonts w:ascii="Arial" w:hAnsi="Arial" w:cs="Arial"/>
          <w:color w:val="161617"/>
          <w:sz w:val="22"/>
          <w:szCs w:val="22"/>
        </w:rPr>
        <w:t xml:space="preserve"> for </w:t>
      </w:r>
      <w:r w:rsidR="005D3BD7">
        <w:rPr>
          <w:rFonts w:ascii="Arial" w:hAnsi="Arial" w:cs="Arial"/>
          <w:color w:val="161617"/>
          <w:sz w:val="22"/>
          <w:szCs w:val="22"/>
        </w:rPr>
        <w:t>amounts</w:t>
      </w:r>
      <w:r w:rsidR="002458BD" w:rsidRPr="00F048AD">
        <w:rPr>
          <w:rFonts w:ascii="Arial" w:hAnsi="Arial" w:cs="Arial"/>
          <w:color w:val="161617"/>
          <w:sz w:val="22"/>
          <w:szCs w:val="22"/>
        </w:rPr>
        <w:t xml:space="preserve"> equal to or greater than $10</w:t>
      </w:r>
      <w:r w:rsidR="00F048AD" w:rsidRPr="00F048AD">
        <w:rPr>
          <w:rFonts w:ascii="Arial" w:hAnsi="Arial" w:cs="Arial"/>
          <w:color w:val="161617"/>
          <w:sz w:val="22"/>
          <w:szCs w:val="22"/>
        </w:rPr>
        <w:t xml:space="preserve"> thousand </w:t>
      </w:r>
    </w:p>
    <w:p w:rsidR="00F048AD" w:rsidRPr="00F048AD" w:rsidRDefault="00F048AD" w:rsidP="00F048AD">
      <w:pPr>
        <w:tabs>
          <w:tab w:val="left" w:pos="1440"/>
        </w:tabs>
        <w:ind w:right="1080"/>
        <w:rPr>
          <w:rFonts w:ascii="Arial" w:hAnsi="Arial" w:cs="Arial"/>
          <w:color w:val="161617"/>
          <w:sz w:val="22"/>
          <w:szCs w:val="22"/>
        </w:rPr>
      </w:pPr>
    </w:p>
    <w:p w:rsidR="00C246E6" w:rsidRPr="00C246E6" w:rsidRDefault="00C246E6" w:rsidP="00C246E6">
      <w:pPr>
        <w:numPr>
          <w:ilvl w:val="0"/>
          <w:numId w:val="16"/>
        </w:numPr>
        <w:tabs>
          <w:tab w:val="clear" w:pos="1800"/>
          <w:tab w:val="left" w:pos="1440"/>
          <w:tab w:val="num" w:pos="2250"/>
        </w:tabs>
        <w:ind w:left="1440" w:right="1080" w:hanging="270"/>
        <w:rPr>
          <w:rFonts w:ascii="Arial" w:hAnsi="Arial" w:cs="Arial"/>
          <w:color w:val="161617"/>
          <w:sz w:val="22"/>
          <w:szCs w:val="22"/>
        </w:rPr>
      </w:pPr>
      <w:r w:rsidRPr="00C246E6">
        <w:rPr>
          <w:rFonts w:ascii="Arial" w:hAnsi="Arial" w:cs="Arial"/>
          <w:b/>
          <w:color w:val="191919"/>
          <w:sz w:val="22"/>
          <w:szCs w:val="22"/>
        </w:rPr>
        <w:t>Fluctuation Analyses</w:t>
      </w:r>
      <w:r w:rsidRPr="003B2C0B">
        <w:rPr>
          <w:rFonts w:ascii="Arial" w:hAnsi="Arial" w:cs="Arial"/>
          <w:color w:val="191919"/>
          <w:sz w:val="22"/>
          <w:szCs w:val="22"/>
        </w:rPr>
        <w:t xml:space="preserve"> </w:t>
      </w:r>
      <w:r w:rsidR="002458BD">
        <w:rPr>
          <w:rFonts w:ascii="Arial" w:hAnsi="Arial" w:cs="Arial"/>
          <w:color w:val="191919"/>
          <w:sz w:val="22"/>
          <w:szCs w:val="22"/>
        </w:rPr>
        <w:t>(Flux)</w:t>
      </w:r>
      <w:r>
        <w:rPr>
          <w:rFonts w:ascii="Arial" w:hAnsi="Arial" w:cs="Arial"/>
          <w:color w:val="191919"/>
          <w:sz w:val="22"/>
          <w:szCs w:val="22"/>
        </w:rPr>
        <w:t>–</w:t>
      </w:r>
      <w:r w:rsidRPr="00C246E6">
        <w:rPr>
          <w:rFonts w:ascii="Arial" w:hAnsi="Arial" w:cs="Arial"/>
          <w:b/>
          <w:color w:val="191919"/>
          <w:sz w:val="22"/>
          <w:szCs w:val="22"/>
        </w:rPr>
        <w:t xml:space="preserve"> </w:t>
      </w:r>
      <w:r w:rsidRPr="00C246E6">
        <w:rPr>
          <w:rFonts w:ascii="Arial" w:hAnsi="Arial" w:cs="Arial"/>
          <w:b/>
          <w:i/>
          <w:color w:val="191919"/>
          <w:sz w:val="22"/>
          <w:szCs w:val="22"/>
          <w:u w:val="single"/>
        </w:rPr>
        <w:t>not</w:t>
      </w:r>
      <w:r w:rsidRPr="00C246E6">
        <w:rPr>
          <w:rFonts w:ascii="Arial" w:hAnsi="Arial" w:cs="Arial"/>
          <w:b/>
          <w:color w:val="191919"/>
          <w:sz w:val="22"/>
          <w:szCs w:val="22"/>
        </w:rPr>
        <w:t xml:space="preserve"> required</w:t>
      </w:r>
      <w:r w:rsidRPr="00C246E6">
        <w:rPr>
          <w:rFonts w:ascii="Arial" w:hAnsi="Arial" w:cs="Arial"/>
          <w:color w:val="191919"/>
          <w:sz w:val="22"/>
          <w:szCs w:val="22"/>
        </w:rPr>
        <w:t xml:space="preserve"> for Q1 FY 2020 </w:t>
      </w:r>
    </w:p>
    <w:p w:rsidR="0064765C" w:rsidRPr="00C246E6" w:rsidRDefault="0064765C" w:rsidP="00C246E6">
      <w:pPr>
        <w:tabs>
          <w:tab w:val="left" w:pos="1440"/>
          <w:tab w:val="num" w:pos="2250"/>
        </w:tabs>
        <w:ind w:left="1440" w:right="1080"/>
        <w:rPr>
          <w:rFonts w:ascii="Arial" w:hAnsi="Arial" w:cs="Arial"/>
          <w:color w:val="161617"/>
          <w:sz w:val="22"/>
          <w:szCs w:val="22"/>
        </w:rPr>
      </w:pPr>
    </w:p>
    <w:p w:rsidR="0017302E" w:rsidRPr="003B2C0B" w:rsidRDefault="0064765C" w:rsidP="004228EF">
      <w:pPr>
        <w:numPr>
          <w:ilvl w:val="0"/>
          <w:numId w:val="16"/>
        </w:numPr>
        <w:tabs>
          <w:tab w:val="clear" w:pos="1800"/>
          <w:tab w:val="left" w:pos="1440"/>
          <w:tab w:val="num" w:pos="2250"/>
        </w:tabs>
        <w:ind w:left="1440" w:right="1080" w:hanging="270"/>
        <w:rPr>
          <w:rFonts w:ascii="Arial" w:hAnsi="Arial" w:cs="Arial"/>
          <w:color w:val="161617"/>
          <w:sz w:val="22"/>
          <w:szCs w:val="22"/>
        </w:rPr>
      </w:pPr>
      <w:r w:rsidRPr="003B2C0B">
        <w:rPr>
          <w:rFonts w:ascii="Arial" w:hAnsi="Arial" w:cs="Arial"/>
          <w:b/>
          <w:color w:val="161617"/>
          <w:sz w:val="22"/>
          <w:szCs w:val="22"/>
        </w:rPr>
        <w:t>Review Checklist</w:t>
      </w:r>
      <w:r w:rsidR="00FA6936" w:rsidRPr="003B2C0B">
        <w:rPr>
          <w:rFonts w:ascii="Arial" w:hAnsi="Arial" w:cs="Arial"/>
          <w:b/>
          <w:color w:val="161617"/>
          <w:sz w:val="22"/>
          <w:szCs w:val="22"/>
        </w:rPr>
        <w:t>s</w:t>
      </w:r>
      <w:r w:rsidR="004228EF" w:rsidRPr="004228EF">
        <w:rPr>
          <w:rFonts w:ascii="Arial" w:hAnsi="Arial" w:cs="Arial"/>
          <w:b/>
          <w:color w:val="583200"/>
          <w:sz w:val="22"/>
          <w:szCs w:val="22"/>
        </w:rPr>
        <w:t xml:space="preserve"> </w:t>
      </w:r>
      <w:r w:rsidR="004228EF" w:rsidRPr="002458BD">
        <w:rPr>
          <w:rFonts w:ascii="Arial" w:hAnsi="Arial" w:cs="Arial"/>
          <w:color w:val="161617"/>
          <w:sz w:val="22"/>
          <w:szCs w:val="22"/>
        </w:rPr>
        <w:t xml:space="preserve">– </w:t>
      </w:r>
      <w:r w:rsidR="00243B13">
        <w:rPr>
          <w:rFonts w:ascii="Arial" w:hAnsi="Arial" w:cs="Arial"/>
          <w:color w:val="161617"/>
          <w:sz w:val="22"/>
          <w:szCs w:val="22"/>
        </w:rPr>
        <w:t>submit using CFIO Review Procedure Checklists</w:t>
      </w:r>
      <w:bookmarkStart w:id="0" w:name="_GoBack"/>
      <w:bookmarkEnd w:id="0"/>
    </w:p>
    <w:p w:rsidR="00C21F57" w:rsidRPr="003B2C0B" w:rsidRDefault="00C21F57" w:rsidP="004228EF">
      <w:pPr>
        <w:tabs>
          <w:tab w:val="left" w:pos="1440"/>
          <w:tab w:val="num" w:pos="2250"/>
        </w:tabs>
        <w:ind w:left="1440" w:right="1080" w:hanging="270"/>
        <w:rPr>
          <w:rFonts w:ascii="Arial" w:hAnsi="Arial" w:cs="Arial"/>
          <w:color w:val="161617"/>
          <w:sz w:val="22"/>
          <w:szCs w:val="22"/>
        </w:rPr>
      </w:pPr>
    </w:p>
    <w:p w:rsidR="00C246E6" w:rsidRPr="00C246E6" w:rsidRDefault="0017302E" w:rsidP="00C246E6">
      <w:pPr>
        <w:numPr>
          <w:ilvl w:val="0"/>
          <w:numId w:val="16"/>
        </w:numPr>
        <w:tabs>
          <w:tab w:val="clear" w:pos="1800"/>
          <w:tab w:val="left" w:pos="1440"/>
          <w:tab w:val="num" w:pos="2250"/>
        </w:tabs>
        <w:ind w:left="1440" w:right="1080" w:hanging="270"/>
        <w:rPr>
          <w:rFonts w:ascii="Arial" w:hAnsi="Arial" w:cs="Arial"/>
          <w:b/>
          <w:color w:val="161617"/>
          <w:sz w:val="22"/>
          <w:szCs w:val="22"/>
        </w:rPr>
      </w:pPr>
      <w:r w:rsidRPr="003B2C0B">
        <w:rPr>
          <w:rFonts w:ascii="Arial" w:hAnsi="Arial" w:cs="Arial"/>
          <w:b/>
          <w:color w:val="161617"/>
          <w:sz w:val="22"/>
          <w:szCs w:val="22"/>
        </w:rPr>
        <w:t>Intra-Commerce</w:t>
      </w:r>
      <w:r w:rsidR="00A862B1" w:rsidRPr="003B2C0B">
        <w:rPr>
          <w:rFonts w:ascii="Arial" w:hAnsi="Arial" w:cs="Arial"/>
          <w:b/>
          <w:color w:val="161617"/>
          <w:sz w:val="22"/>
          <w:szCs w:val="22"/>
        </w:rPr>
        <w:t xml:space="preserve"> </w:t>
      </w:r>
      <w:r w:rsidR="0064765C" w:rsidRPr="003B2C0B">
        <w:rPr>
          <w:rFonts w:ascii="Arial" w:hAnsi="Arial" w:cs="Arial"/>
          <w:b/>
          <w:color w:val="161617"/>
          <w:sz w:val="22"/>
          <w:szCs w:val="22"/>
        </w:rPr>
        <w:t>TSR/TDRs</w:t>
      </w:r>
      <w:r w:rsidR="00C246E6">
        <w:rPr>
          <w:rFonts w:ascii="Arial" w:hAnsi="Arial" w:cs="Arial"/>
          <w:b/>
          <w:color w:val="161617"/>
          <w:sz w:val="22"/>
          <w:szCs w:val="22"/>
        </w:rPr>
        <w:t xml:space="preserve"> </w:t>
      </w:r>
      <w:r w:rsidR="00C246E6">
        <w:rPr>
          <w:rFonts w:ascii="Arial" w:hAnsi="Arial" w:cs="Arial"/>
          <w:color w:val="161617"/>
          <w:sz w:val="22"/>
          <w:szCs w:val="22"/>
        </w:rPr>
        <w:t>– exchange with other bureaus</w:t>
      </w:r>
    </w:p>
    <w:p w:rsidR="0064765C" w:rsidRPr="003B2C0B" w:rsidRDefault="0064765C" w:rsidP="004228EF">
      <w:pPr>
        <w:pStyle w:val="ListParagraph"/>
        <w:tabs>
          <w:tab w:val="left" w:pos="1440"/>
          <w:tab w:val="num" w:pos="2250"/>
        </w:tabs>
        <w:ind w:left="1440" w:right="1080" w:hanging="270"/>
        <w:rPr>
          <w:rFonts w:ascii="Arial" w:hAnsi="Arial" w:cs="Arial"/>
          <w:b/>
          <w:color w:val="161617"/>
          <w:sz w:val="22"/>
          <w:szCs w:val="22"/>
        </w:rPr>
      </w:pPr>
    </w:p>
    <w:p w:rsidR="00C246E6" w:rsidRPr="00C246E6" w:rsidRDefault="00A862B1" w:rsidP="00C246E6">
      <w:pPr>
        <w:numPr>
          <w:ilvl w:val="0"/>
          <w:numId w:val="16"/>
        </w:numPr>
        <w:tabs>
          <w:tab w:val="clear" w:pos="1800"/>
          <w:tab w:val="left" w:pos="1440"/>
          <w:tab w:val="num" w:pos="2250"/>
        </w:tabs>
        <w:ind w:left="1440" w:right="1080" w:hanging="270"/>
        <w:rPr>
          <w:rFonts w:ascii="Arial" w:hAnsi="Arial" w:cs="Arial"/>
          <w:color w:val="161617"/>
          <w:sz w:val="22"/>
          <w:szCs w:val="22"/>
        </w:rPr>
      </w:pPr>
      <w:r w:rsidRPr="003B2C0B">
        <w:rPr>
          <w:rFonts w:ascii="Arial" w:hAnsi="Arial" w:cs="Arial"/>
          <w:b/>
          <w:color w:val="161617"/>
          <w:sz w:val="22"/>
          <w:szCs w:val="22"/>
        </w:rPr>
        <w:t>Intra</w:t>
      </w:r>
      <w:r w:rsidR="006409EB" w:rsidRPr="003B2C0B">
        <w:rPr>
          <w:rFonts w:ascii="Arial" w:hAnsi="Arial" w:cs="Arial"/>
          <w:b/>
          <w:color w:val="161617"/>
          <w:sz w:val="22"/>
          <w:szCs w:val="22"/>
        </w:rPr>
        <w:t>g</w:t>
      </w:r>
      <w:r w:rsidRPr="003B2C0B">
        <w:rPr>
          <w:rFonts w:ascii="Arial" w:hAnsi="Arial" w:cs="Arial"/>
          <w:b/>
          <w:color w:val="161617"/>
          <w:sz w:val="22"/>
          <w:szCs w:val="22"/>
        </w:rPr>
        <w:t>overnmental</w:t>
      </w:r>
      <w:r w:rsidR="00C246E6">
        <w:rPr>
          <w:rFonts w:ascii="Arial" w:hAnsi="Arial" w:cs="Arial"/>
          <w:b/>
          <w:color w:val="161617"/>
          <w:sz w:val="22"/>
          <w:szCs w:val="22"/>
        </w:rPr>
        <w:t xml:space="preserve"> </w:t>
      </w:r>
      <w:r w:rsidR="00704823" w:rsidRPr="003B2C0B">
        <w:rPr>
          <w:rFonts w:ascii="Arial" w:hAnsi="Arial" w:cs="Arial"/>
          <w:b/>
          <w:color w:val="161617"/>
          <w:sz w:val="22"/>
          <w:szCs w:val="22"/>
        </w:rPr>
        <w:t>TDRs</w:t>
      </w:r>
      <w:r w:rsidR="00C246E6" w:rsidRPr="00C246E6">
        <w:rPr>
          <w:rFonts w:ascii="Arial" w:hAnsi="Arial" w:cs="Arial"/>
          <w:color w:val="161617"/>
          <w:sz w:val="22"/>
          <w:szCs w:val="22"/>
        </w:rPr>
        <w:t xml:space="preserve"> – </w:t>
      </w:r>
      <w:r w:rsidR="00C246E6">
        <w:rPr>
          <w:rFonts w:ascii="Arial" w:hAnsi="Arial" w:cs="Arial"/>
          <w:color w:val="161617"/>
          <w:sz w:val="22"/>
          <w:szCs w:val="22"/>
        </w:rPr>
        <w:t xml:space="preserve">submit to OFM </w:t>
      </w:r>
    </w:p>
    <w:p w:rsidR="0067073C" w:rsidRPr="003B2C0B" w:rsidRDefault="0067073C" w:rsidP="004228EF">
      <w:pPr>
        <w:tabs>
          <w:tab w:val="left" w:pos="1440"/>
          <w:tab w:val="left" w:pos="2160"/>
          <w:tab w:val="num" w:pos="2250"/>
        </w:tabs>
        <w:ind w:left="1440" w:right="1080" w:hanging="270"/>
        <w:rPr>
          <w:rFonts w:ascii="Arial" w:hAnsi="Arial" w:cs="Arial"/>
          <w:color w:val="161617"/>
          <w:sz w:val="22"/>
          <w:szCs w:val="22"/>
        </w:rPr>
      </w:pPr>
    </w:p>
    <w:p w:rsidR="002525F8" w:rsidRPr="003B2C0B" w:rsidRDefault="0067073C" w:rsidP="004228EF">
      <w:pPr>
        <w:pStyle w:val="ListParagraph"/>
        <w:numPr>
          <w:ilvl w:val="0"/>
          <w:numId w:val="35"/>
        </w:numPr>
        <w:tabs>
          <w:tab w:val="left" w:pos="1440"/>
          <w:tab w:val="left" w:pos="2160"/>
          <w:tab w:val="num" w:pos="2250"/>
        </w:tabs>
        <w:ind w:left="1440" w:right="1080" w:hanging="270"/>
        <w:rPr>
          <w:rFonts w:ascii="Arial" w:hAnsi="Arial" w:cs="Arial"/>
          <w:b/>
          <w:color w:val="161617"/>
          <w:sz w:val="22"/>
          <w:szCs w:val="22"/>
        </w:rPr>
      </w:pPr>
      <w:r w:rsidRPr="003B2C0B">
        <w:rPr>
          <w:rFonts w:ascii="Arial" w:hAnsi="Arial" w:cs="Arial"/>
          <w:b/>
          <w:color w:val="161617"/>
          <w:sz w:val="22"/>
          <w:szCs w:val="22"/>
        </w:rPr>
        <w:t>GTAS vs. HFM</w:t>
      </w:r>
      <w:r w:rsidR="004228EF">
        <w:rPr>
          <w:rFonts w:ascii="Arial" w:hAnsi="Arial" w:cs="Arial"/>
          <w:b/>
          <w:color w:val="161617"/>
          <w:sz w:val="22"/>
          <w:szCs w:val="22"/>
        </w:rPr>
        <w:t xml:space="preserve"> Comparison</w:t>
      </w:r>
      <w:r w:rsidR="004228EF" w:rsidRPr="004228EF">
        <w:rPr>
          <w:rFonts w:ascii="Arial" w:hAnsi="Arial" w:cs="Arial"/>
          <w:b/>
          <w:color w:val="583200"/>
          <w:sz w:val="22"/>
          <w:szCs w:val="22"/>
        </w:rPr>
        <w:t xml:space="preserve"> </w:t>
      </w:r>
      <w:r w:rsidR="004228EF" w:rsidRPr="00C246E6">
        <w:rPr>
          <w:rFonts w:ascii="Arial" w:hAnsi="Arial" w:cs="Arial"/>
          <w:color w:val="161617"/>
          <w:sz w:val="22"/>
          <w:szCs w:val="22"/>
        </w:rPr>
        <w:t xml:space="preserve">– </w:t>
      </w:r>
      <w:r w:rsidR="00C246E6" w:rsidRPr="00C246E6">
        <w:rPr>
          <w:rFonts w:ascii="Arial" w:hAnsi="Arial" w:cs="Arial"/>
          <w:color w:val="161617"/>
          <w:sz w:val="22"/>
          <w:szCs w:val="22"/>
        </w:rPr>
        <w:t>(a)</w:t>
      </w:r>
      <w:r w:rsidR="00C246E6" w:rsidRPr="00C246E6">
        <w:rPr>
          <w:rFonts w:ascii="Arial" w:hAnsi="Arial" w:cs="Arial"/>
          <w:color w:val="583200"/>
          <w:sz w:val="22"/>
          <w:szCs w:val="22"/>
        </w:rPr>
        <w:t xml:space="preserve"> </w:t>
      </w:r>
      <w:r w:rsidR="00A44D4F" w:rsidRPr="003B2C0B">
        <w:rPr>
          <w:rFonts w:ascii="Arial" w:hAnsi="Arial" w:cs="Arial"/>
          <w:color w:val="161617"/>
          <w:sz w:val="22"/>
          <w:szCs w:val="22"/>
        </w:rPr>
        <w:t xml:space="preserve">GTAS, </w:t>
      </w:r>
      <w:r w:rsidR="00C246E6">
        <w:rPr>
          <w:rFonts w:ascii="Arial" w:hAnsi="Arial" w:cs="Arial"/>
          <w:color w:val="161617"/>
          <w:sz w:val="22"/>
          <w:szCs w:val="22"/>
        </w:rPr>
        <w:t xml:space="preserve">(b) </w:t>
      </w:r>
      <w:r w:rsidR="00A44D4F" w:rsidRPr="003B2C0B">
        <w:rPr>
          <w:rFonts w:ascii="Arial" w:hAnsi="Arial" w:cs="Arial"/>
          <w:color w:val="161617"/>
          <w:sz w:val="22"/>
          <w:szCs w:val="22"/>
        </w:rPr>
        <w:t xml:space="preserve">HFM, and </w:t>
      </w:r>
      <w:r w:rsidR="00C246E6">
        <w:rPr>
          <w:rFonts w:ascii="Arial" w:hAnsi="Arial" w:cs="Arial"/>
          <w:color w:val="161617"/>
          <w:sz w:val="22"/>
          <w:szCs w:val="22"/>
        </w:rPr>
        <w:t xml:space="preserve">(c) </w:t>
      </w:r>
      <w:r w:rsidR="00A44D4F" w:rsidRPr="003B2C0B">
        <w:rPr>
          <w:rFonts w:ascii="Arial" w:hAnsi="Arial" w:cs="Arial"/>
          <w:color w:val="161617"/>
          <w:sz w:val="22"/>
          <w:szCs w:val="22"/>
        </w:rPr>
        <w:t>I</w:t>
      </w:r>
      <w:r w:rsidR="00F81886" w:rsidRPr="003B2C0B">
        <w:rPr>
          <w:rFonts w:ascii="Arial" w:hAnsi="Arial" w:cs="Arial"/>
          <w:color w:val="161617"/>
          <w:sz w:val="22"/>
          <w:szCs w:val="22"/>
        </w:rPr>
        <w:t>ntra</w:t>
      </w:r>
      <w:r w:rsidR="006409EB" w:rsidRPr="003B2C0B">
        <w:rPr>
          <w:rFonts w:ascii="Arial" w:hAnsi="Arial" w:cs="Arial"/>
          <w:color w:val="161617"/>
          <w:sz w:val="22"/>
          <w:szCs w:val="22"/>
        </w:rPr>
        <w:t>governmental</w:t>
      </w:r>
      <w:r w:rsidR="00A44D4F" w:rsidRPr="003B2C0B">
        <w:rPr>
          <w:rFonts w:ascii="Arial" w:hAnsi="Arial" w:cs="Arial"/>
          <w:color w:val="161617"/>
          <w:sz w:val="22"/>
          <w:szCs w:val="22"/>
        </w:rPr>
        <w:t xml:space="preserve"> and Intra-Commerce TSRs/TDRs</w:t>
      </w:r>
      <w:r w:rsidR="002525F8" w:rsidRPr="003B2C0B">
        <w:rPr>
          <w:rFonts w:ascii="Arial" w:hAnsi="Arial" w:cs="Arial"/>
          <w:color w:val="161617"/>
          <w:sz w:val="22"/>
          <w:szCs w:val="22"/>
        </w:rPr>
        <w:t xml:space="preserve"> should be consistent</w:t>
      </w:r>
      <w:r w:rsidR="00A44D4F" w:rsidRPr="003B2C0B">
        <w:rPr>
          <w:rFonts w:ascii="Arial" w:hAnsi="Arial" w:cs="Arial"/>
          <w:color w:val="161617"/>
          <w:sz w:val="22"/>
          <w:szCs w:val="22"/>
        </w:rPr>
        <w:t xml:space="preserve">.  </w:t>
      </w:r>
      <w:r w:rsidR="00EB06C2">
        <w:rPr>
          <w:rFonts w:ascii="Arial" w:hAnsi="Arial" w:cs="Arial"/>
          <w:color w:val="161617"/>
          <w:sz w:val="22"/>
          <w:szCs w:val="22"/>
        </w:rPr>
        <w:t xml:space="preserve">All </w:t>
      </w:r>
      <w:r w:rsidR="00F81886" w:rsidRPr="003B2C0B">
        <w:rPr>
          <w:rFonts w:ascii="Arial" w:hAnsi="Arial" w:cs="Arial"/>
          <w:color w:val="161617"/>
          <w:sz w:val="22"/>
          <w:szCs w:val="22"/>
        </w:rPr>
        <w:t>difference</w:t>
      </w:r>
      <w:r w:rsidR="00EB06C2">
        <w:rPr>
          <w:rFonts w:ascii="Arial" w:hAnsi="Arial" w:cs="Arial"/>
          <w:color w:val="161617"/>
          <w:sz w:val="22"/>
          <w:szCs w:val="22"/>
        </w:rPr>
        <w:t>s</w:t>
      </w:r>
      <w:r w:rsidR="00F81886" w:rsidRPr="003B2C0B">
        <w:rPr>
          <w:rFonts w:ascii="Arial" w:hAnsi="Arial" w:cs="Arial"/>
          <w:color w:val="161617"/>
          <w:sz w:val="22"/>
          <w:szCs w:val="22"/>
        </w:rPr>
        <w:t xml:space="preserve"> </w:t>
      </w:r>
      <w:r w:rsidR="002B20C0">
        <w:rPr>
          <w:rFonts w:ascii="Arial" w:hAnsi="Arial" w:cs="Arial"/>
          <w:color w:val="161617"/>
          <w:sz w:val="22"/>
          <w:szCs w:val="22"/>
        </w:rPr>
        <w:t>(i.e., diff. &lt; &gt; $0.00)</w:t>
      </w:r>
      <w:r w:rsidR="002B20C0" w:rsidRPr="003B2C0B">
        <w:rPr>
          <w:rFonts w:ascii="Arial" w:hAnsi="Arial" w:cs="Arial"/>
          <w:color w:val="161617"/>
          <w:sz w:val="22"/>
          <w:szCs w:val="22"/>
        </w:rPr>
        <w:t xml:space="preserve"> </w:t>
      </w:r>
      <w:r w:rsidR="00A44D4F" w:rsidRPr="003B2C0B">
        <w:rPr>
          <w:rFonts w:ascii="Arial" w:hAnsi="Arial" w:cs="Arial"/>
          <w:color w:val="161617"/>
          <w:sz w:val="22"/>
          <w:szCs w:val="22"/>
        </w:rPr>
        <w:t xml:space="preserve">between GTAS and HFM </w:t>
      </w:r>
      <w:r w:rsidR="00F81886" w:rsidRPr="003B2C0B">
        <w:rPr>
          <w:rFonts w:ascii="Arial" w:hAnsi="Arial" w:cs="Arial"/>
          <w:color w:val="161617"/>
          <w:sz w:val="22"/>
          <w:szCs w:val="22"/>
        </w:rPr>
        <w:t>must be explained.</w:t>
      </w:r>
    </w:p>
    <w:p w:rsidR="004C2F46" w:rsidRPr="00EB06C2" w:rsidRDefault="004C2F46" w:rsidP="004228EF">
      <w:pPr>
        <w:tabs>
          <w:tab w:val="left" w:pos="1440"/>
          <w:tab w:val="left" w:pos="2160"/>
          <w:tab w:val="num" w:pos="2250"/>
        </w:tabs>
        <w:ind w:left="1440" w:right="1080" w:hanging="270"/>
        <w:rPr>
          <w:rFonts w:ascii="Arial" w:hAnsi="Arial" w:cs="Arial"/>
          <w:color w:val="0D0D0D" w:themeColor="text1" w:themeTint="F2"/>
          <w:sz w:val="22"/>
          <w:szCs w:val="22"/>
        </w:rPr>
      </w:pPr>
    </w:p>
    <w:p w:rsidR="00786550" w:rsidRPr="00EB06C2" w:rsidRDefault="00786550" w:rsidP="004228EF">
      <w:pPr>
        <w:numPr>
          <w:ilvl w:val="0"/>
          <w:numId w:val="16"/>
        </w:numPr>
        <w:tabs>
          <w:tab w:val="clear" w:pos="1800"/>
          <w:tab w:val="left" w:pos="1440"/>
          <w:tab w:val="num" w:pos="2250"/>
        </w:tabs>
        <w:ind w:left="1440" w:right="1080" w:hanging="270"/>
        <w:rPr>
          <w:rFonts w:ascii="Arial" w:hAnsi="Arial" w:cs="Arial"/>
          <w:color w:val="0D0D0D" w:themeColor="text1" w:themeTint="F2"/>
          <w:sz w:val="22"/>
          <w:szCs w:val="22"/>
        </w:rPr>
      </w:pPr>
      <w:r w:rsidRPr="00EB06C2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Continuing Resolution (CR) </w:t>
      </w:r>
      <w:r w:rsidRPr="00C246E6">
        <w:rPr>
          <w:rFonts w:ascii="Arial" w:hAnsi="Arial" w:cs="Arial"/>
          <w:color w:val="0D0D0D" w:themeColor="text1" w:themeTint="F2"/>
          <w:sz w:val="22"/>
          <w:szCs w:val="22"/>
        </w:rPr>
        <w:t xml:space="preserve">– </w:t>
      </w:r>
      <w:r w:rsidR="00DA7299" w:rsidRPr="00C246E6">
        <w:rPr>
          <w:rFonts w:ascii="Arial" w:hAnsi="Arial" w:cs="Arial"/>
          <w:color w:val="0D0D0D" w:themeColor="text1" w:themeTint="F2"/>
          <w:sz w:val="22"/>
          <w:szCs w:val="22"/>
        </w:rPr>
        <w:t>i</w:t>
      </w:r>
      <w:r w:rsidR="00DA7299" w:rsidRPr="00EB06C2">
        <w:rPr>
          <w:rFonts w:ascii="Arial" w:hAnsi="Arial" w:cs="Arial"/>
          <w:color w:val="0D0D0D" w:themeColor="text1" w:themeTint="F2"/>
          <w:sz w:val="22"/>
          <w:szCs w:val="22"/>
        </w:rPr>
        <w:t>n the event of a continuing resolution,</w:t>
      </w:r>
      <w:r w:rsidR="00DA7299" w:rsidRPr="00EB06C2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Pr="00EB06C2">
        <w:rPr>
          <w:rFonts w:ascii="Arial" w:hAnsi="Arial" w:cs="Arial"/>
          <w:color w:val="0D0D0D" w:themeColor="text1" w:themeTint="F2"/>
          <w:sz w:val="22"/>
          <w:szCs w:val="22"/>
        </w:rPr>
        <w:t>OFM may request CR calculation workbooks from bureaus, if needed to reconcile</w:t>
      </w:r>
      <w:r w:rsidR="005D3BD7">
        <w:rPr>
          <w:rFonts w:ascii="Arial" w:hAnsi="Arial" w:cs="Arial"/>
          <w:color w:val="0D0D0D" w:themeColor="text1" w:themeTint="F2"/>
          <w:sz w:val="22"/>
          <w:szCs w:val="22"/>
        </w:rPr>
        <w:t xml:space="preserve"> intragovernmental transaction elimination</w:t>
      </w:r>
      <w:r w:rsidRPr="00EB06C2">
        <w:rPr>
          <w:rFonts w:ascii="Arial" w:hAnsi="Arial" w:cs="Arial"/>
          <w:color w:val="0D0D0D" w:themeColor="text1" w:themeTint="F2"/>
          <w:sz w:val="22"/>
          <w:szCs w:val="22"/>
        </w:rPr>
        <w:t xml:space="preserve"> with the General Fund of the U.S. Government.</w:t>
      </w:r>
    </w:p>
    <w:p w:rsidR="00C246E6" w:rsidRPr="003B2C0B" w:rsidRDefault="00C246E6" w:rsidP="00C246E6">
      <w:pPr>
        <w:tabs>
          <w:tab w:val="left" w:pos="1440"/>
        </w:tabs>
        <w:ind w:right="1080"/>
        <w:rPr>
          <w:rFonts w:ascii="Arial" w:hAnsi="Arial" w:cs="Arial"/>
          <w:color w:val="161617"/>
          <w:sz w:val="22"/>
          <w:szCs w:val="22"/>
        </w:rPr>
      </w:pPr>
    </w:p>
    <w:p w:rsidR="00C246E6" w:rsidRPr="00C246E6" w:rsidRDefault="00C246E6" w:rsidP="00C246E6">
      <w:pPr>
        <w:numPr>
          <w:ilvl w:val="0"/>
          <w:numId w:val="16"/>
        </w:numPr>
        <w:tabs>
          <w:tab w:val="clear" w:pos="1800"/>
          <w:tab w:val="left" w:pos="1440"/>
          <w:tab w:val="num" w:pos="2250"/>
        </w:tabs>
        <w:ind w:left="1440" w:right="1080" w:hanging="270"/>
        <w:rPr>
          <w:rFonts w:ascii="Arial" w:hAnsi="Arial" w:cs="Arial"/>
          <w:color w:val="161617"/>
          <w:sz w:val="22"/>
          <w:szCs w:val="22"/>
        </w:rPr>
      </w:pPr>
      <w:r w:rsidRPr="00EB06C2">
        <w:rPr>
          <w:rFonts w:ascii="Arial" w:hAnsi="Arial" w:cs="Arial"/>
          <w:b/>
          <w:color w:val="161617"/>
          <w:sz w:val="22"/>
          <w:szCs w:val="22"/>
        </w:rPr>
        <w:t>On-Top Adjusting Journal Entries and Review Procedure Comments template</w:t>
      </w:r>
      <w:r>
        <w:rPr>
          <w:rFonts w:ascii="Arial" w:hAnsi="Arial" w:cs="Arial"/>
          <w:color w:val="161617"/>
          <w:sz w:val="22"/>
          <w:szCs w:val="22"/>
        </w:rPr>
        <w:t xml:space="preserve"> –</w:t>
      </w:r>
      <w:r w:rsidRPr="00C246E6">
        <w:rPr>
          <w:rFonts w:ascii="Arial" w:hAnsi="Arial" w:cs="Arial"/>
          <w:color w:val="161617"/>
          <w:sz w:val="22"/>
          <w:szCs w:val="22"/>
        </w:rPr>
        <w:t xml:space="preserve">  </w:t>
      </w:r>
      <w:r>
        <w:rPr>
          <w:rFonts w:ascii="Arial" w:hAnsi="Arial" w:cs="Arial"/>
          <w:color w:val="161617"/>
          <w:sz w:val="22"/>
          <w:szCs w:val="22"/>
        </w:rPr>
        <w:t>r</w:t>
      </w:r>
      <w:r w:rsidRPr="00C246E6">
        <w:rPr>
          <w:rFonts w:ascii="Arial" w:hAnsi="Arial" w:cs="Arial"/>
          <w:color w:val="161617"/>
          <w:sz w:val="22"/>
          <w:szCs w:val="22"/>
        </w:rPr>
        <w:t>efer to this template for Q1 review procedures</w:t>
      </w:r>
      <w:r w:rsidR="002B20C0">
        <w:rPr>
          <w:rFonts w:ascii="Arial" w:hAnsi="Arial" w:cs="Arial"/>
          <w:color w:val="161617"/>
          <w:sz w:val="22"/>
          <w:szCs w:val="22"/>
        </w:rPr>
        <w:t>, some of which might</w:t>
      </w:r>
      <w:r w:rsidRPr="00C246E6">
        <w:rPr>
          <w:rFonts w:ascii="Arial" w:hAnsi="Arial" w:cs="Arial"/>
          <w:color w:val="161617"/>
          <w:sz w:val="22"/>
          <w:szCs w:val="22"/>
        </w:rPr>
        <w:t xml:space="preserve"> not </w:t>
      </w:r>
      <w:r w:rsidR="002B20C0">
        <w:rPr>
          <w:rFonts w:ascii="Arial" w:hAnsi="Arial" w:cs="Arial"/>
          <w:color w:val="161617"/>
          <w:sz w:val="22"/>
          <w:szCs w:val="22"/>
        </w:rPr>
        <w:t xml:space="preserve">be </w:t>
      </w:r>
      <w:r w:rsidRPr="00C246E6">
        <w:rPr>
          <w:rFonts w:ascii="Arial" w:hAnsi="Arial" w:cs="Arial"/>
          <w:color w:val="161617"/>
          <w:sz w:val="22"/>
          <w:szCs w:val="22"/>
        </w:rPr>
        <w:t xml:space="preserve">listed </w:t>
      </w:r>
      <w:r w:rsidR="00F048AD">
        <w:rPr>
          <w:rFonts w:ascii="Arial" w:hAnsi="Arial" w:cs="Arial"/>
          <w:color w:val="161617"/>
          <w:sz w:val="22"/>
          <w:szCs w:val="22"/>
        </w:rPr>
        <w:t>i</w:t>
      </w:r>
      <w:r w:rsidRPr="00C246E6">
        <w:rPr>
          <w:rFonts w:ascii="Arial" w:hAnsi="Arial" w:cs="Arial"/>
          <w:color w:val="161617"/>
          <w:sz w:val="22"/>
          <w:szCs w:val="22"/>
        </w:rPr>
        <w:t xml:space="preserve">n the </w:t>
      </w:r>
      <w:r w:rsidR="005D3BD7" w:rsidRPr="005D3BD7">
        <w:rPr>
          <w:rFonts w:ascii="Arial" w:hAnsi="Arial" w:cs="Arial"/>
          <w:i/>
          <w:color w:val="161617"/>
          <w:sz w:val="22"/>
          <w:szCs w:val="22"/>
        </w:rPr>
        <w:t xml:space="preserve">CFO </w:t>
      </w:r>
      <w:r w:rsidR="00F048AD" w:rsidRPr="005D3BD7">
        <w:rPr>
          <w:rFonts w:ascii="Arial" w:hAnsi="Arial" w:cs="Arial"/>
          <w:i/>
          <w:color w:val="161617"/>
          <w:sz w:val="22"/>
          <w:szCs w:val="22"/>
        </w:rPr>
        <w:t xml:space="preserve">Review </w:t>
      </w:r>
      <w:r w:rsidR="005D3BD7" w:rsidRPr="005D3BD7">
        <w:rPr>
          <w:rFonts w:ascii="Arial" w:hAnsi="Arial" w:cs="Arial"/>
          <w:i/>
          <w:color w:val="161617"/>
          <w:sz w:val="22"/>
          <w:szCs w:val="22"/>
        </w:rPr>
        <w:t xml:space="preserve">Procedure </w:t>
      </w:r>
      <w:r w:rsidRPr="005D3BD7">
        <w:rPr>
          <w:rFonts w:ascii="Arial" w:hAnsi="Arial" w:cs="Arial"/>
          <w:i/>
          <w:color w:val="161617"/>
          <w:sz w:val="22"/>
          <w:szCs w:val="22"/>
        </w:rPr>
        <w:t>Checklist</w:t>
      </w:r>
      <w:r w:rsidR="00F048AD" w:rsidRPr="005D3BD7">
        <w:rPr>
          <w:rFonts w:ascii="Arial" w:hAnsi="Arial" w:cs="Arial"/>
          <w:i/>
          <w:color w:val="161617"/>
          <w:sz w:val="22"/>
          <w:szCs w:val="22"/>
        </w:rPr>
        <w:t>s</w:t>
      </w:r>
      <w:r w:rsidR="005D3BD7">
        <w:rPr>
          <w:rFonts w:ascii="Arial" w:hAnsi="Arial" w:cs="Arial"/>
          <w:color w:val="161617"/>
          <w:sz w:val="22"/>
          <w:szCs w:val="22"/>
        </w:rPr>
        <w:t xml:space="preserve"> template</w:t>
      </w:r>
    </w:p>
    <w:p w:rsidR="00C246E6" w:rsidRPr="003B2C0B" w:rsidRDefault="00C246E6" w:rsidP="00C246E6">
      <w:pPr>
        <w:tabs>
          <w:tab w:val="left" w:pos="1440"/>
          <w:tab w:val="num" w:pos="2250"/>
        </w:tabs>
        <w:ind w:left="1440" w:right="1080" w:hanging="270"/>
        <w:rPr>
          <w:rFonts w:ascii="Arial" w:hAnsi="Arial" w:cs="Arial"/>
          <w:color w:val="161617"/>
          <w:sz w:val="22"/>
          <w:szCs w:val="22"/>
        </w:rPr>
      </w:pPr>
    </w:p>
    <w:p w:rsidR="00834278" w:rsidRPr="003B2C0B" w:rsidRDefault="00A44D4F" w:rsidP="004228EF">
      <w:pPr>
        <w:numPr>
          <w:ilvl w:val="0"/>
          <w:numId w:val="16"/>
        </w:numPr>
        <w:tabs>
          <w:tab w:val="clear" w:pos="1800"/>
          <w:tab w:val="left" w:pos="1440"/>
          <w:tab w:val="num" w:pos="2250"/>
        </w:tabs>
        <w:ind w:left="1440" w:right="1080" w:hanging="270"/>
        <w:rPr>
          <w:rFonts w:ascii="Arial" w:hAnsi="Arial" w:cs="Arial"/>
          <w:b/>
          <w:color w:val="161617"/>
          <w:sz w:val="22"/>
          <w:szCs w:val="22"/>
        </w:rPr>
      </w:pPr>
      <w:r w:rsidRPr="003B2C0B">
        <w:rPr>
          <w:rFonts w:ascii="Arial" w:hAnsi="Arial" w:cs="Arial"/>
          <w:b/>
          <w:color w:val="161617"/>
          <w:sz w:val="22"/>
          <w:szCs w:val="22"/>
        </w:rPr>
        <w:t xml:space="preserve">Additional </w:t>
      </w:r>
      <w:r w:rsidR="00834278" w:rsidRPr="003B2C0B">
        <w:rPr>
          <w:rFonts w:ascii="Arial" w:hAnsi="Arial" w:cs="Arial"/>
          <w:b/>
          <w:color w:val="161617"/>
          <w:sz w:val="22"/>
          <w:szCs w:val="22"/>
        </w:rPr>
        <w:t xml:space="preserve">Q1 </w:t>
      </w:r>
      <w:r w:rsidR="00665641">
        <w:rPr>
          <w:rFonts w:ascii="Arial" w:hAnsi="Arial" w:cs="Arial"/>
          <w:b/>
          <w:color w:val="161617"/>
          <w:sz w:val="22"/>
          <w:szCs w:val="22"/>
        </w:rPr>
        <w:t xml:space="preserve">FY </w:t>
      </w:r>
      <w:r w:rsidR="00DA54C8">
        <w:rPr>
          <w:rFonts w:ascii="Arial" w:hAnsi="Arial" w:cs="Arial"/>
          <w:b/>
          <w:color w:val="161617"/>
          <w:sz w:val="22"/>
          <w:szCs w:val="22"/>
        </w:rPr>
        <w:t>2020</w:t>
      </w:r>
      <w:r w:rsidRPr="003B2C0B">
        <w:rPr>
          <w:rFonts w:ascii="Arial" w:hAnsi="Arial" w:cs="Arial"/>
          <w:b/>
          <w:color w:val="161617"/>
          <w:sz w:val="22"/>
          <w:szCs w:val="22"/>
        </w:rPr>
        <w:t xml:space="preserve"> </w:t>
      </w:r>
      <w:r w:rsidR="00834278" w:rsidRPr="003B2C0B">
        <w:rPr>
          <w:rFonts w:ascii="Arial" w:hAnsi="Arial" w:cs="Arial"/>
          <w:b/>
          <w:color w:val="161617"/>
          <w:sz w:val="22"/>
          <w:szCs w:val="22"/>
        </w:rPr>
        <w:t xml:space="preserve">Items listed </w:t>
      </w:r>
      <w:r w:rsidR="002458BD">
        <w:rPr>
          <w:rFonts w:ascii="Arial" w:hAnsi="Arial" w:cs="Arial"/>
          <w:b/>
          <w:color w:val="161617"/>
          <w:sz w:val="22"/>
          <w:szCs w:val="22"/>
        </w:rPr>
        <w:t>i</w:t>
      </w:r>
      <w:r w:rsidR="00834278" w:rsidRPr="003B2C0B">
        <w:rPr>
          <w:rFonts w:ascii="Arial" w:hAnsi="Arial" w:cs="Arial"/>
          <w:b/>
          <w:color w:val="161617"/>
          <w:sz w:val="22"/>
          <w:szCs w:val="22"/>
        </w:rPr>
        <w:t xml:space="preserve">n Attachment I, </w:t>
      </w:r>
      <w:r w:rsidR="00665641">
        <w:rPr>
          <w:rFonts w:ascii="Arial" w:hAnsi="Arial" w:cs="Arial"/>
          <w:b/>
          <w:i/>
          <w:color w:val="161617"/>
          <w:sz w:val="22"/>
          <w:szCs w:val="22"/>
        </w:rPr>
        <w:t xml:space="preserve">FY </w:t>
      </w:r>
      <w:r w:rsidR="00DA54C8">
        <w:rPr>
          <w:rFonts w:ascii="Arial" w:hAnsi="Arial" w:cs="Arial"/>
          <w:b/>
          <w:i/>
          <w:color w:val="161617"/>
          <w:sz w:val="22"/>
          <w:szCs w:val="22"/>
        </w:rPr>
        <w:t>2020</w:t>
      </w:r>
      <w:r w:rsidR="003B2C0B" w:rsidRPr="003B2C0B">
        <w:rPr>
          <w:rFonts w:ascii="Arial" w:hAnsi="Arial" w:cs="Arial"/>
          <w:b/>
          <w:i/>
          <w:color w:val="161617"/>
          <w:sz w:val="22"/>
          <w:szCs w:val="22"/>
        </w:rPr>
        <w:t xml:space="preserve"> D</w:t>
      </w:r>
      <w:r w:rsidR="00834278" w:rsidRPr="003B2C0B">
        <w:rPr>
          <w:rFonts w:ascii="Arial" w:hAnsi="Arial" w:cs="Arial"/>
          <w:b/>
          <w:i/>
          <w:color w:val="161617"/>
          <w:sz w:val="22"/>
          <w:szCs w:val="22"/>
        </w:rPr>
        <w:t>ue Date Calendar</w:t>
      </w:r>
      <w:r w:rsidR="003B2C0B" w:rsidRPr="003B2C0B">
        <w:rPr>
          <w:rFonts w:ascii="Arial" w:hAnsi="Arial" w:cs="Arial"/>
          <w:b/>
          <w:color w:val="161617"/>
          <w:sz w:val="22"/>
          <w:szCs w:val="22"/>
        </w:rPr>
        <w:t xml:space="preserve">, </w:t>
      </w:r>
      <w:r w:rsidR="00D43082" w:rsidRPr="003B2C0B">
        <w:rPr>
          <w:rFonts w:ascii="Arial" w:hAnsi="Arial" w:cs="Arial"/>
          <w:b/>
          <w:color w:val="161617"/>
          <w:sz w:val="22"/>
          <w:szCs w:val="22"/>
        </w:rPr>
        <w:t>not listed abov</w:t>
      </w:r>
      <w:r w:rsidRPr="003B2C0B">
        <w:rPr>
          <w:rFonts w:ascii="Arial" w:hAnsi="Arial" w:cs="Arial"/>
          <w:b/>
          <w:color w:val="161617"/>
          <w:sz w:val="22"/>
          <w:szCs w:val="22"/>
        </w:rPr>
        <w:t>e:</w:t>
      </w:r>
    </w:p>
    <w:p w:rsidR="003B2C0B" w:rsidRPr="003B2C0B" w:rsidRDefault="00F048AD" w:rsidP="00F048AD">
      <w:pPr>
        <w:numPr>
          <w:ilvl w:val="1"/>
          <w:numId w:val="16"/>
        </w:numPr>
        <w:tabs>
          <w:tab w:val="clear" w:pos="2520"/>
          <w:tab w:val="num" w:pos="2250"/>
        </w:tabs>
        <w:ind w:left="2250" w:right="1080" w:hanging="270"/>
        <w:rPr>
          <w:rFonts w:ascii="Arial" w:hAnsi="Arial" w:cs="Arial"/>
          <w:color w:val="161617"/>
          <w:sz w:val="22"/>
          <w:szCs w:val="22"/>
        </w:rPr>
      </w:pPr>
      <w:r>
        <w:rPr>
          <w:rFonts w:ascii="Arial" w:hAnsi="Arial" w:cs="Arial"/>
          <w:color w:val="161617"/>
          <w:sz w:val="22"/>
          <w:szCs w:val="22"/>
        </w:rPr>
        <w:t>Submit r</w:t>
      </w:r>
      <w:r w:rsidR="003B2C0B" w:rsidRPr="003B2C0B">
        <w:rPr>
          <w:rFonts w:ascii="Arial" w:hAnsi="Arial" w:cs="Arial"/>
          <w:color w:val="161617"/>
          <w:sz w:val="22"/>
          <w:szCs w:val="22"/>
        </w:rPr>
        <w:t xml:space="preserve">esponses to </w:t>
      </w:r>
      <w:r>
        <w:rPr>
          <w:rFonts w:ascii="Arial" w:hAnsi="Arial" w:cs="Arial"/>
          <w:color w:val="161617"/>
          <w:sz w:val="22"/>
          <w:szCs w:val="22"/>
        </w:rPr>
        <w:t xml:space="preserve">all </w:t>
      </w:r>
      <w:r w:rsidR="003B2C0B" w:rsidRPr="003B2C0B">
        <w:rPr>
          <w:rFonts w:ascii="Arial" w:hAnsi="Arial" w:cs="Arial"/>
          <w:color w:val="161617"/>
          <w:sz w:val="22"/>
          <w:szCs w:val="22"/>
        </w:rPr>
        <w:t xml:space="preserve">templates issued by OFM </w:t>
      </w:r>
      <w:r>
        <w:rPr>
          <w:rFonts w:ascii="Arial" w:hAnsi="Arial" w:cs="Arial"/>
          <w:color w:val="161617"/>
          <w:sz w:val="22"/>
          <w:szCs w:val="22"/>
        </w:rPr>
        <w:t xml:space="preserve">that require input </w:t>
      </w:r>
      <w:r w:rsidR="002458BD">
        <w:rPr>
          <w:rFonts w:ascii="Arial" w:hAnsi="Arial" w:cs="Arial"/>
          <w:color w:val="161617"/>
          <w:sz w:val="22"/>
          <w:szCs w:val="22"/>
        </w:rPr>
        <w:t xml:space="preserve">(even if not applicable, when </w:t>
      </w:r>
      <w:r>
        <w:rPr>
          <w:rFonts w:ascii="Arial" w:hAnsi="Arial" w:cs="Arial"/>
          <w:color w:val="161617"/>
          <w:sz w:val="22"/>
          <w:szCs w:val="22"/>
        </w:rPr>
        <w:t xml:space="preserve">a </w:t>
      </w:r>
      <w:r w:rsidR="002458BD">
        <w:rPr>
          <w:rFonts w:ascii="Arial" w:hAnsi="Arial" w:cs="Arial"/>
          <w:color w:val="161617"/>
          <w:sz w:val="22"/>
          <w:szCs w:val="22"/>
        </w:rPr>
        <w:t>negative response is required)</w:t>
      </w:r>
      <w:r w:rsidR="003B2C0B" w:rsidRPr="003B2C0B">
        <w:rPr>
          <w:rFonts w:ascii="Arial" w:hAnsi="Arial" w:cs="Arial"/>
          <w:color w:val="161617"/>
          <w:sz w:val="22"/>
          <w:szCs w:val="22"/>
        </w:rPr>
        <w:t xml:space="preserve"> </w:t>
      </w:r>
    </w:p>
    <w:p w:rsidR="00EB06C2" w:rsidRDefault="00EB06C2" w:rsidP="00F048AD">
      <w:pPr>
        <w:numPr>
          <w:ilvl w:val="1"/>
          <w:numId w:val="16"/>
        </w:numPr>
        <w:tabs>
          <w:tab w:val="clear" w:pos="2520"/>
          <w:tab w:val="num" w:pos="2250"/>
        </w:tabs>
        <w:ind w:left="2250" w:right="1080" w:hanging="270"/>
        <w:rPr>
          <w:rFonts w:ascii="Arial" w:hAnsi="Arial" w:cs="Arial"/>
          <w:color w:val="161617"/>
          <w:sz w:val="22"/>
          <w:szCs w:val="22"/>
        </w:rPr>
      </w:pPr>
      <w:r>
        <w:rPr>
          <w:rFonts w:ascii="Arial" w:hAnsi="Arial" w:cs="Arial"/>
          <w:color w:val="161617"/>
          <w:sz w:val="22"/>
          <w:szCs w:val="22"/>
        </w:rPr>
        <w:t xml:space="preserve">Applicable bureaus submit </w:t>
      </w:r>
      <w:r w:rsidR="002458BD">
        <w:rPr>
          <w:rFonts w:ascii="Arial" w:hAnsi="Arial" w:cs="Arial"/>
          <w:color w:val="161617"/>
          <w:sz w:val="22"/>
          <w:szCs w:val="22"/>
        </w:rPr>
        <w:t xml:space="preserve">their </w:t>
      </w:r>
      <w:r>
        <w:rPr>
          <w:rFonts w:ascii="Arial" w:hAnsi="Arial" w:cs="Arial"/>
          <w:color w:val="161617"/>
          <w:sz w:val="22"/>
          <w:szCs w:val="22"/>
        </w:rPr>
        <w:t xml:space="preserve">DM/G&amp;B </w:t>
      </w:r>
      <w:r w:rsidR="002458BD">
        <w:rPr>
          <w:rFonts w:ascii="Arial" w:hAnsi="Arial" w:cs="Arial"/>
          <w:color w:val="161617"/>
          <w:sz w:val="22"/>
          <w:szCs w:val="22"/>
        </w:rPr>
        <w:t>t</w:t>
      </w:r>
      <w:r>
        <w:rPr>
          <w:rFonts w:ascii="Arial" w:hAnsi="Arial" w:cs="Arial"/>
          <w:color w:val="161617"/>
          <w:sz w:val="22"/>
          <w:szCs w:val="22"/>
        </w:rPr>
        <w:t>ri</w:t>
      </w:r>
      <w:r w:rsidR="002458BD">
        <w:rPr>
          <w:rFonts w:ascii="Arial" w:hAnsi="Arial" w:cs="Arial"/>
          <w:color w:val="161617"/>
          <w:sz w:val="22"/>
          <w:szCs w:val="22"/>
        </w:rPr>
        <w:t>a</w:t>
      </w:r>
      <w:r>
        <w:rPr>
          <w:rFonts w:ascii="Arial" w:hAnsi="Arial" w:cs="Arial"/>
          <w:color w:val="161617"/>
          <w:sz w:val="22"/>
          <w:szCs w:val="22"/>
        </w:rPr>
        <w:t>l balance to NIST</w:t>
      </w:r>
    </w:p>
    <w:p w:rsidR="00D43082" w:rsidRPr="003B2C0B" w:rsidRDefault="00D43082" w:rsidP="00F048AD">
      <w:pPr>
        <w:numPr>
          <w:ilvl w:val="1"/>
          <w:numId w:val="16"/>
        </w:numPr>
        <w:tabs>
          <w:tab w:val="clear" w:pos="2520"/>
          <w:tab w:val="num" w:pos="2250"/>
        </w:tabs>
        <w:ind w:left="2250" w:right="1080" w:hanging="270"/>
        <w:rPr>
          <w:rFonts w:ascii="Arial" w:hAnsi="Arial" w:cs="Arial"/>
          <w:color w:val="161617"/>
          <w:sz w:val="22"/>
          <w:szCs w:val="22"/>
        </w:rPr>
      </w:pPr>
      <w:r w:rsidRPr="003B2C0B">
        <w:rPr>
          <w:rFonts w:ascii="Arial" w:hAnsi="Arial" w:cs="Arial"/>
          <w:color w:val="161617"/>
          <w:sz w:val="22"/>
          <w:szCs w:val="22"/>
        </w:rPr>
        <w:t>Unasserted Claim</w:t>
      </w:r>
      <w:r w:rsidR="002458BD">
        <w:rPr>
          <w:rFonts w:ascii="Arial" w:hAnsi="Arial" w:cs="Arial"/>
          <w:color w:val="161617"/>
          <w:sz w:val="22"/>
          <w:szCs w:val="22"/>
        </w:rPr>
        <w:t xml:space="preserve"> updates</w:t>
      </w:r>
    </w:p>
    <w:p w:rsidR="00EB06C2" w:rsidRPr="003B2C0B" w:rsidRDefault="00EB06C2" w:rsidP="00F048AD">
      <w:pPr>
        <w:numPr>
          <w:ilvl w:val="1"/>
          <w:numId w:val="16"/>
        </w:numPr>
        <w:tabs>
          <w:tab w:val="clear" w:pos="2520"/>
          <w:tab w:val="num" w:pos="2250"/>
        </w:tabs>
        <w:ind w:left="2250" w:right="1080" w:hanging="270"/>
        <w:rPr>
          <w:rFonts w:ascii="Arial" w:hAnsi="Arial" w:cs="Arial"/>
          <w:color w:val="161617"/>
          <w:sz w:val="22"/>
          <w:szCs w:val="22"/>
        </w:rPr>
      </w:pPr>
      <w:r w:rsidRPr="003B2C0B">
        <w:rPr>
          <w:rFonts w:ascii="Arial" w:hAnsi="Arial" w:cs="Arial"/>
          <w:color w:val="161617"/>
          <w:sz w:val="22"/>
          <w:szCs w:val="22"/>
        </w:rPr>
        <w:t xml:space="preserve">USPTO </w:t>
      </w:r>
      <w:r>
        <w:rPr>
          <w:rFonts w:ascii="Arial" w:hAnsi="Arial" w:cs="Arial"/>
          <w:color w:val="161617"/>
          <w:sz w:val="22"/>
          <w:szCs w:val="22"/>
        </w:rPr>
        <w:t>Inquiry Letter on Employee Cases</w:t>
      </w:r>
    </w:p>
    <w:p w:rsidR="00200257" w:rsidRPr="002228AF" w:rsidRDefault="004228EF" w:rsidP="00F048AD">
      <w:pPr>
        <w:numPr>
          <w:ilvl w:val="1"/>
          <w:numId w:val="16"/>
        </w:numPr>
        <w:tabs>
          <w:tab w:val="clear" w:pos="2520"/>
          <w:tab w:val="num" w:pos="2250"/>
        </w:tabs>
        <w:ind w:left="2250" w:right="1080" w:hanging="270"/>
        <w:rPr>
          <w:rFonts w:ascii="Arial" w:hAnsi="Arial" w:cs="Arial"/>
          <w:color w:val="161617"/>
        </w:rPr>
      </w:pPr>
      <w:r>
        <w:rPr>
          <w:rFonts w:ascii="Arial" w:hAnsi="Arial" w:cs="Arial"/>
          <w:color w:val="161617"/>
          <w:sz w:val="22"/>
          <w:szCs w:val="22"/>
        </w:rPr>
        <w:t xml:space="preserve">Treasury Report of Receivables </w:t>
      </w:r>
      <w:r w:rsidR="002458BD">
        <w:rPr>
          <w:rFonts w:ascii="Arial" w:hAnsi="Arial" w:cs="Arial"/>
          <w:color w:val="161617"/>
          <w:sz w:val="22"/>
          <w:szCs w:val="22"/>
        </w:rPr>
        <w:t>(with the Public)</w:t>
      </w:r>
    </w:p>
    <w:p w:rsidR="002228AF" w:rsidRPr="000D64CF" w:rsidRDefault="002228AF" w:rsidP="00F048AD">
      <w:pPr>
        <w:numPr>
          <w:ilvl w:val="1"/>
          <w:numId w:val="16"/>
        </w:numPr>
        <w:tabs>
          <w:tab w:val="clear" w:pos="2520"/>
          <w:tab w:val="num" w:pos="2250"/>
        </w:tabs>
        <w:ind w:left="2250" w:right="1080" w:hanging="270"/>
        <w:rPr>
          <w:rFonts w:ascii="Arial" w:hAnsi="Arial" w:cs="Arial"/>
          <w:color w:val="161617"/>
        </w:rPr>
      </w:pPr>
      <w:r w:rsidRPr="00C246E6">
        <w:rPr>
          <w:rFonts w:ascii="Arial" w:hAnsi="Arial" w:cs="Arial"/>
          <w:color w:val="161617"/>
          <w:sz w:val="22"/>
          <w:szCs w:val="22"/>
        </w:rPr>
        <w:t>Explanations, upon request, for F999 (</w:t>
      </w:r>
      <w:r w:rsidRPr="00C246E6">
        <w:rPr>
          <w:rFonts w:ascii="Arial" w:hAnsi="Arial" w:cs="Arial"/>
          <w:i/>
          <w:color w:val="161617"/>
          <w:sz w:val="22"/>
          <w:szCs w:val="22"/>
        </w:rPr>
        <w:t>Unidentified</w:t>
      </w:r>
      <w:r w:rsidRPr="00C246E6">
        <w:rPr>
          <w:rFonts w:ascii="Arial" w:hAnsi="Arial" w:cs="Arial"/>
          <w:color w:val="161617"/>
          <w:sz w:val="22"/>
          <w:szCs w:val="22"/>
        </w:rPr>
        <w:t>) Balances</w:t>
      </w:r>
      <w:r w:rsidR="00C246E6" w:rsidRPr="00C246E6">
        <w:rPr>
          <w:rFonts w:ascii="Arial" w:hAnsi="Arial" w:cs="Arial"/>
          <w:color w:val="161617"/>
          <w:sz w:val="22"/>
          <w:szCs w:val="22"/>
        </w:rPr>
        <w:t xml:space="preserve"> </w:t>
      </w:r>
    </w:p>
    <w:sectPr w:rsidR="002228AF" w:rsidRPr="000D64CF" w:rsidSect="005D3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008" w:bottom="1296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E89" w:rsidRDefault="00DF4E89" w:rsidP="00DF4E89">
      <w:r>
        <w:separator/>
      </w:r>
    </w:p>
  </w:endnote>
  <w:endnote w:type="continuationSeparator" w:id="0">
    <w:p w:rsidR="00DF4E89" w:rsidRDefault="00DF4E89" w:rsidP="00DF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4C8" w:rsidRDefault="00DA5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8462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228EF" w:rsidRPr="004228EF" w:rsidRDefault="004228EF">
            <w:pPr>
              <w:pStyle w:val="Footer"/>
              <w:jc w:val="center"/>
            </w:pPr>
            <w:r w:rsidRPr="004228EF">
              <w:t xml:space="preserve">Page </w:t>
            </w:r>
            <w:r w:rsidRPr="004228EF">
              <w:rPr>
                <w:bCs/>
              </w:rPr>
              <w:fldChar w:fldCharType="begin"/>
            </w:r>
            <w:r w:rsidRPr="004228EF">
              <w:rPr>
                <w:bCs/>
              </w:rPr>
              <w:instrText xml:space="preserve"> PAGE </w:instrText>
            </w:r>
            <w:r w:rsidRPr="004228EF">
              <w:rPr>
                <w:bCs/>
              </w:rPr>
              <w:fldChar w:fldCharType="separate"/>
            </w:r>
            <w:r w:rsidRPr="004228EF">
              <w:rPr>
                <w:bCs/>
                <w:noProof/>
              </w:rPr>
              <w:t>2</w:t>
            </w:r>
            <w:r w:rsidRPr="004228EF">
              <w:rPr>
                <w:bCs/>
              </w:rPr>
              <w:fldChar w:fldCharType="end"/>
            </w:r>
            <w:r w:rsidRPr="004228EF">
              <w:t xml:space="preserve"> of </w:t>
            </w:r>
            <w:r w:rsidRPr="004228EF">
              <w:rPr>
                <w:bCs/>
              </w:rPr>
              <w:fldChar w:fldCharType="begin"/>
            </w:r>
            <w:r w:rsidRPr="004228EF">
              <w:rPr>
                <w:bCs/>
              </w:rPr>
              <w:instrText xml:space="preserve"> NUMPAGES  </w:instrText>
            </w:r>
            <w:r w:rsidRPr="004228EF">
              <w:rPr>
                <w:bCs/>
              </w:rPr>
              <w:fldChar w:fldCharType="separate"/>
            </w:r>
            <w:r w:rsidRPr="004228EF">
              <w:rPr>
                <w:bCs/>
                <w:noProof/>
              </w:rPr>
              <w:t>2</w:t>
            </w:r>
            <w:r w:rsidRPr="004228EF">
              <w:rPr>
                <w:bCs/>
              </w:rPr>
              <w:fldChar w:fldCharType="end"/>
            </w:r>
          </w:p>
        </w:sdtContent>
      </w:sdt>
    </w:sdtContent>
  </w:sdt>
  <w:p w:rsidR="00DF4E89" w:rsidRDefault="00DF4E89" w:rsidP="00DF4E8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4C8" w:rsidRDefault="00DA5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E89" w:rsidRDefault="00DF4E89" w:rsidP="00DF4E89">
      <w:r>
        <w:separator/>
      </w:r>
    </w:p>
  </w:footnote>
  <w:footnote w:type="continuationSeparator" w:id="0">
    <w:p w:rsidR="00DF4E89" w:rsidRDefault="00DF4E89" w:rsidP="00DF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4C8" w:rsidRDefault="00DA5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4C8" w:rsidRDefault="00DA5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4C8" w:rsidRDefault="00DA5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3EEA"/>
    <w:multiLevelType w:val="hybridMultilevel"/>
    <w:tmpl w:val="A11EA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9FD"/>
    <w:multiLevelType w:val="multilevel"/>
    <w:tmpl w:val="E342E6BA"/>
    <w:lvl w:ilvl="0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800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C301E"/>
    <w:multiLevelType w:val="hybridMultilevel"/>
    <w:tmpl w:val="FC56384A"/>
    <w:lvl w:ilvl="0" w:tplc="C680C0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AEEB09E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5E0113"/>
    <w:multiLevelType w:val="multilevel"/>
    <w:tmpl w:val="EBCE0558"/>
    <w:lvl w:ilvl="0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834B5"/>
    <w:multiLevelType w:val="multilevel"/>
    <w:tmpl w:val="18A4C04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B54BBD"/>
    <w:multiLevelType w:val="multilevel"/>
    <w:tmpl w:val="B40CBA0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$"/>
      <w:lvlJc w:val="left"/>
      <w:pPr>
        <w:tabs>
          <w:tab w:val="num" w:pos="1800"/>
        </w:tabs>
        <w:ind w:left="180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6D6527"/>
    <w:multiLevelType w:val="multilevel"/>
    <w:tmpl w:val="00DA1F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6232B6"/>
    <w:multiLevelType w:val="hybridMultilevel"/>
    <w:tmpl w:val="5364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3125"/>
    <w:multiLevelType w:val="multilevel"/>
    <w:tmpl w:val="BDA60CC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DB3278"/>
    <w:multiLevelType w:val="multilevel"/>
    <w:tmpl w:val="00DA1F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FE352A"/>
    <w:multiLevelType w:val="multilevel"/>
    <w:tmpl w:val="3CC22ED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$"/>
      <w:lvlJc w:val="left"/>
      <w:pPr>
        <w:tabs>
          <w:tab w:val="num" w:pos="1800"/>
        </w:tabs>
        <w:ind w:left="180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5267AA"/>
    <w:multiLevelType w:val="hybridMultilevel"/>
    <w:tmpl w:val="B0EE1212"/>
    <w:lvl w:ilvl="0" w:tplc="23CA7452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1" w:tplc="750EF9C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52F9E"/>
    <w:multiLevelType w:val="multilevel"/>
    <w:tmpl w:val="77A678F2"/>
    <w:lvl w:ilvl="0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14544"/>
    <w:multiLevelType w:val="multilevel"/>
    <w:tmpl w:val="FC56384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8C6D6B"/>
    <w:multiLevelType w:val="multilevel"/>
    <w:tmpl w:val="F620BA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$"/>
      <w:lvlJc w:val="left"/>
      <w:pPr>
        <w:tabs>
          <w:tab w:val="num" w:pos="1800"/>
        </w:tabs>
        <w:ind w:left="180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1967526"/>
    <w:multiLevelType w:val="multilevel"/>
    <w:tmpl w:val="8ADC934C"/>
    <w:lvl w:ilvl="0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551BD"/>
    <w:multiLevelType w:val="multilevel"/>
    <w:tmpl w:val="F620BA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$"/>
      <w:lvlJc w:val="left"/>
      <w:pPr>
        <w:tabs>
          <w:tab w:val="num" w:pos="1800"/>
        </w:tabs>
        <w:ind w:left="180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685F47"/>
    <w:multiLevelType w:val="multilevel"/>
    <w:tmpl w:val="18A4C04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942774"/>
    <w:multiLevelType w:val="multilevel"/>
    <w:tmpl w:val="77A678F2"/>
    <w:lvl w:ilvl="0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D4407"/>
    <w:multiLevelType w:val="multilevel"/>
    <w:tmpl w:val="CC9027D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$"/>
      <w:lvlJc w:val="left"/>
      <w:pPr>
        <w:tabs>
          <w:tab w:val="num" w:pos="1800"/>
        </w:tabs>
        <w:ind w:left="180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35262C9"/>
    <w:multiLevelType w:val="multilevel"/>
    <w:tmpl w:val="77A678F2"/>
    <w:lvl w:ilvl="0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24AF1"/>
    <w:multiLevelType w:val="hybridMultilevel"/>
    <w:tmpl w:val="72C802E6"/>
    <w:lvl w:ilvl="0" w:tplc="E834C6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FA76B3"/>
    <w:multiLevelType w:val="hybridMultilevel"/>
    <w:tmpl w:val="00DA1FEA"/>
    <w:lvl w:ilvl="0" w:tplc="E834C6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6B37909"/>
    <w:multiLevelType w:val="hybridMultilevel"/>
    <w:tmpl w:val="2788E1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99F7B74"/>
    <w:multiLevelType w:val="multilevel"/>
    <w:tmpl w:val="00DA1F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5C1016"/>
    <w:multiLevelType w:val="hybridMultilevel"/>
    <w:tmpl w:val="9FDC56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302996"/>
    <w:multiLevelType w:val="multilevel"/>
    <w:tmpl w:val="77A678F2"/>
    <w:lvl w:ilvl="0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A6B84"/>
    <w:multiLevelType w:val="hybridMultilevel"/>
    <w:tmpl w:val="0C3E24F4"/>
    <w:lvl w:ilvl="0" w:tplc="87B6F40A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/>
        <w:i w:val="0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10503"/>
    <w:multiLevelType w:val="multilevel"/>
    <w:tmpl w:val="77A678F2"/>
    <w:lvl w:ilvl="0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32F82"/>
    <w:multiLevelType w:val="multilevel"/>
    <w:tmpl w:val="77A678F2"/>
    <w:lvl w:ilvl="0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A1AD2"/>
    <w:multiLevelType w:val="multilevel"/>
    <w:tmpl w:val="0C3E24F4"/>
    <w:lvl w:ilvl="0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/>
        <w:i w:val="0"/>
        <w:color w:val="008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353F7"/>
    <w:multiLevelType w:val="multilevel"/>
    <w:tmpl w:val="77A678F2"/>
    <w:lvl w:ilvl="0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A2D37"/>
    <w:multiLevelType w:val="multilevel"/>
    <w:tmpl w:val="4D68E38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D3A617C"/>
    <w:multiLevelType w:val="multilevel"/>
    <w:tmpl w:val="77A678F2"/>
    <w:lvl w:ilvl="0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Times New Roman" w:hint="default"/>
        <w:b w:val="0"/>
        <w:i w:val="0"/>
        <w:color w:val="008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11"/>
  </w:num>
  <w:num w:numId="4">
    <w:abstractNumId w:val="29"/>
  </w:num>
  <w:num w:numId="5">
    <w:abstractNumId w:val="20"/>
  </w:num>
  <w:num w:numId="6">
    <w:abstractNumId w:val="2"/>
  </w:num>
  <w:num w:numId="7">
    <w:abstractNumId w:val="10"/>
  </w:num>
  <w:num w:numId="8">
    <w:abstractNumId w:val="5"/>
  </w:num>
  <w:num w:numId="9">
    <w:abstractNumId w:val="19"/>
  </w:num>
  <w:num w:numId="10">
    <w:abstractNumId w:val="14"/>
  </w:num>
  <w:num w:numId="11">
    <w:abstractNumId w:val="16"/>
  </w:num>
  <w:num w:numId="12">
    <w:abstractNumId w:val="31"/>
  </w:num>
  <w:num w:numId="13">
    <w:abstractNumId w:val="32"/>
  </w:num>
  <w:num w:numId="14">
    <w:abstractNumId w:val="8"/>
  </w:num>
  <w:num w:numId="15">
    <w:abstractNumId w:val="4"/>
  </w:num>
  <w:num w:numId="16">
    <w:abstractNumId w:val="22"/>
  </w:num>
  <w:num w:numId="17">
    <w:abstractNumId w:val="24"/>
  </w:num>
  <w:num w:numId="18">
    <w:abstractNumId w:val="28"/>
  </w:num>
  <w:num w:numId="19">
    <w:abstractNumId w:val="26"/>
  </w:num>
  <w:num w:numId="20">
    <w:abstractNumId w:val="12"/>
  </w:num>
  <w:num w:numId="21">
    <w:abstractNumId w:val="33"/>
  </w:num>
  <w:num w:numId="22">
    <w:abstractNumId w:val="18"/>
  </w:num>
  <w:num w:numId="23">
    <w:abstractNumId w:val="17"/>
  </w:num>
  <w:num w:numId="24">
    <w:abstractNumId w:val="13"/>
  </w:num>
  <w:num w:numId="25">
    <w:abstractNumId w:val="1"/>
  </w:num>
  <w:num w:numId="26">
    <w:abstractNumId w:val="15"/>
  </w:num>
  <w:num w:numId="27">
    <w:abstractNumId w:val="9"/>
  </w:num>
  <w:num w:numId="28">
    <w:abstractNumId w:val="3"/>
  </w:num>
  <w:num w:numId="29">
    <w:abstractNumId w:val="7"/>
  </w:num>
  <w:num w:numId="30">
    <w:abstractNumId w:val="6"/>
  </w:num>
  <w:num w:numId="31">
    <w:abstractNumId w:val="7"/>
  </w:num>
  <w:num w:numId="32">
    <w:abstractNumId w:val="21"/>
  </w:num>
  <w:num w:numId="33">
    <w:abstractNumId w:val="0"/>
  </w:num>
  <w:num w:numId="34">
    <w:abstractNumId w:val="2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C7"/>
    <w:rsid w:val="00023245"/>
    <w:rsid w:val="00052A21"/>
    <w:rsid w:val="00053E15"/>
    <w:rsid w:val="00055F13"/>
    <w:rsid w:val="000669A5"/>
    <w:rsid w:val="000835B5"/>
    <w:rsid w:val="000A3CB6"/>
    <w:rsid w:val="000D0A61"/>
    <w:rsid w:val="000D64CF"/>
    <w:rsid w:val="000F6820"/>
    <w:rsid w:val="0013724C"/>
    <w:rsid w:val="00147A7F"/>
    <w:rsid w:val="00154FBA"/>
    <w:rsid w:val="00157AF7"/>
    <w:rsid w:val="0017173F"/>
    <w:rsid w:val="0017302E"/>
    <w:rsid w:val="00176463"/>
    <w:rsid w:val="0019541A"/>
    <w:rsid w:val="001A664B"/>
    <w:rsid w:val="00200257"/>
    <w:rsid w:val="002040B4"/>
    <w:rsid w:val="00205C02"/>
    <w:rsid w:val="0021585C"/>
    <w:rsid w:val="002228AF"/>
    <w:rsid w:val="00222910"/>
    <w:rsid w:val="00243B13"/>
    <w:rsid w:val="002458BD"/>
    <w:rsid w:val="00247D14"/>
    <w:rsid w:val="002525F8"/>
    <w:rsid w:val="002927EF"/>
    <w:rsid w:val="002A73C5"/>
    <w:rsid w:val="002B20C0"/>
    <w:rsid w:val="002B7171"/>
    <w:rsid w:val="002D174B"/>
    <w:rsid w:val="002F3D5E"/>
    <w:rsid w:val="00313D3C"/>
    <w:rsid w:val="00320715"/>
    <w:rsid w:val="003572F3"/>
    <w:rsid w:val="00374B05"/>
    <w:rsid w:val="00380D12"/>
    <w:rsid w:val="00396D7B"/>
    <w:rsid w:val="003B2C0B"/>
    <w:rsid w:val="003B4975"/>
    <w:rsid w:val="003B59DA"/>
    <w:rsid w:val="003C5FF3"/>
    <w:rsid w:val="003E2FEF"/>
    <w:rsid w:val="004014C3"/>
    <w:rsid w:val="004228EF"/>
    <w:rsid w:val="00447084"/>
    <w:rsid w:val="004723B9"/>
    <w:rsid w:val="004936A4"/>
    <w:rsid w:val="004A347D"/>
    <w:rsid w:val="004A39C0"/>
    <w:rsid w:val="004C2F46"/>
    <w:rsid w:val="004E658D"/>
    <w:rsid w:val="00514BC1"/>
    <w:rsid w:val="00545077"/>
    <w:rsid w:val="00573E19"/>
    <w:rsid w:val="005B11B6"/>
    <w:rsid w:val="005B793A"/>
    <w:rsid w:val="005D3BD7"/>
    <w:rsid w:val="005E05D3"/>
    <w:rsid w:val="005E397E"/>
    <w:rsid w:val="005F1788"/>
    <w:rsid w:val="00622F29"/>
    <w:rsid w:val="006409EB"/>
    <w:rsid w:val="00643554"/>
    <w:rsid w:val="0064765C"/>
    <w:rsid w:val="00656508"/>
    <w:rsid w:val="0066231E"/>
    <w:rsid w:val="00665641"/>
    <w:rsid w:val="0067073C"/>
    <w:rsid w:val="006D6788"/>
    <w:rsid w:val="006F22EE"/>
    <w:rsid w:val="00704823"/>
    <w:rsid w:val="0076033C"/>
    <w:rsid w:val="00786550"/>
    <w:rsid w:val="00802E04"/>
    <w:rsid w:val="00822780"/>
    <w:rsid w:val="008238A6"/>
    <w:rsid w:val="00825410"/>
    <w:rsid w:val="0083383B"/>
    <w:rsid w:val="00834278"/>
    <w:rsid w:val="00837C8D"/>
    <w:rsid w:val="008F08C0"/>
    <w:rsid w:val="00907EC7"/>
    <w:rsid w:val="00925E8D"/>
    <w:rsid w:val="0094035D"/>
    <w:rsid w:val="009B3FE5"/>
    <w:rsid w:val="009C3C66"/>
    <w:rsid w:val="009D5651"/>
    <w:rsid w:val="009F550C"/>
    <w:rsid w:val="00A058EE"/>
    <w:rsid w:val="00A404A2"/>
    <w:rsid w:val="00A42CC9"/>
    <w:rsid w:val="00A44D4F"/>
    <w:rsid w:val="00A6371C"/>
    <w:rsid w:val="00A862B1"/>
    <w:rsid w:val="00AA2C9D"/>
    <w:rsid w:val="00AA3A34"/>
    <w:rsid w:val="00B07533"/>
    <w:rsid w:val="00B1005B"/>
    <w:rsid w:val="00B10D77"/>
    <w:rsid w:val="00B21A05"/>
    <w:rsid w:val="00B62CF2"/>
    <w:rsid w:val="00B938DB"/>
    <w:rsid w:val="00BA154A"/>
    <w:rsid w:val="00BA55CE"/>
    <w:rsid w:val="00BD1FF7"/>
    <w:rsid w:val="00BF6642"/>
    <w:rsid w:val="00C21F57"/>
    <w:rsid w:val="00C246E6"/>
    <w:rsid w:val="00C2589F"/>
    <w:rsid w:val="00C8336B"/>
    <w:rsid w:val="00C870F9"/>
    <w:rsid w:val="00CB5C08"/>
    <w:rsid w:val="00CD0C5D"/>
    <w:rsid w:val="00CD7C39"/>
    <w:rsid w:val="00CF0B6C"/>
    <w:rsid w:val="00D41B00"/>
    <w:rsid w:val="00D424BF"/>
    <w:rsid w:val="00D43082"/>
    <w:rsid w:val="00D454F5"/>
    <w:rsid w:val="00D53D55"/>
    <w:rsid w:val="00D61DDE"/>
    <w:rsid w:val="00D83673"/>
    <w:rsid w:val="00D926E5"/>
    <w:rsid w:val="00DA54C8"/>
    <w:rsid w:val="00DA609A"/>
    <w:rsid w:val="00DA7299"/>
    <w:rsid w:val="00DC6823"/>
    <w:rsid w:val="00DF3542"/>
    <w:rsid w:val="00DF4E89"/>
    <w:rsid w:val="00DF5E6F"/>
    <w:rsid w:val="00E535F5"/>
    <w:rsid w:val="00E666D6"/>
    <w:rsid w:val="00E91CA6"/>
    <w:rsid w:val="00EA2565"/>
    <w:rsid w:val="00EB06C2"/>
    <w:rsid w:val="00EB472D"/>
    <w:rsid w:val="00EC4821"/>
    <w:rsid w:val="00EE3BDF"/>
    <w:rsid w:val="00EF28E6"/>
    <w:rsid w:val="00F048AD"/>
    <w:rsid w:val="00F13361"/>
    <w:rsid w:val="00F33EAB"/>
    <w:rsid w:val="00F710EC"/>
    <w:rsid w:val="00F71942"/>
    <w:rsid w:val="00F81886"/>
    <w:rsid w:val="00FA6936"/>
    <w:rsid w:val="00FC4E8F"/>
    <w:rsid w:val="00FD7D85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77039"/>
  <w15:chartTrackingRefBased/>
  <w15:docId w15:val="{260B7571-D684-4FF2-BD63-50693923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31E"/>
    <w:pPr>
      <w:ind w:left="720"/>
    </w:pPr>
  </w:style>
  <w:style w:type="paragraph" w:styleId="Header">
    <w:name w:val="header"/>
    <w:basedOn w:val="Normal"/>
    <w:link w:val="HeaderChar"/>
    <w:rsid w:val="00DF4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4E8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F4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E8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409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09E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266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Forward to the Q1 FY 08 Financial Reporting Process</vt:lpstr>
    </vt:vector>
  </TitlesOfParts>
  <Company>DOC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Forward to the Q1 FY 08 Financial Reporting Process</dc:title>
  <dc:subject/>
  <dc:creator>Smith, Sean</dc:creator>
  <cp:keywords/>
  <cp:lastModifiedBy>Salzer, Kristin (Federal)</cp:lastModifiedBy>
  <cp:revision>16</cp:revision>
  <cp:lastPrinted>2019-12-05T19:50:00Z</cp:lastPrinted>
  <dcterms:created xsi:type="dcterms:W3CDTF">2018-12-12T12:41:00Z</dcterms:created>
  <dcterms:modified xsi:type="dcterms:W3CDTF">2019-12-13T19:39:00Z</dcterms:modified>
</cp:coreProperties>
</file>