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D4C" w:rsidRPr="00E97ADF" w:rsidRDefault="00366D4C" w:rsidP="00366D4C">
      <w:pPr>
        <w:pStyle w:val="Heading1"/>
        <w:spacing w:after="240"/>
        <w:jc w:val="center"/>
        <w:rPr>
          <w:rFonts w:asciiTheme="minorHAnsi" w:hAnsiTheme="minorHAnsi" w:cs="Times New Roman"/>
          <w:b/>
          <w:color w:val="auto"/>
          <w:sz w:val="22"/>
          <w:szCs w:val="22"/>
          <w:u w:val="single"/>
        </w:rPr>
      </w:pPr>
      <w:bookmarkStart w:id="0" w:name="_Toc413237760"/>
      <w:bookmarkStart w:id="1" w:name="_Toc421634329"/>
      <w:bookmarkStart w:id="2" w:name="_Toc418004968"/>
      <w:bookmarkStart w:id="3" w:name="_GoBack"/>
      <w:bookmarkEnd w:id="3"/>
      <w:r w:rsidRPr="00E97ADF">
        <w:rPr>
          <w:rFonts w:asciiTheme="minorHAnsi" w:hAnsiTheme="minorHAnsi" w:cs="Times New Roman"/>
          <w:b/>
          <w:color w:val="auto"/>
          <w:sz w:val="22"/>
          <w:szCs w:val="22"/>
          <w:u w:val="single"/>
        </w:rPr>
        <w:t>Department of Commerce Common Baseline Self-Assessment and Plan</w:t>
      </w:r>
      <w:bookmarkEnd w:id="0"/>
      <w:bookmarkEnd w:id="1"/>
      <w:bookmarkEnd w:id="2"/>
      <w:r w:rsidRPr="00E97ADF">
        <w:rPr>
          <w:rFonts w:asciiTheme="minorHAnsi" w:hAnsiTheme="minorHAnsi" w:cs="Times New Roman"/>
          <w:b/>
          <w:color w:val="auto"/>
          <w:sz w:val="22"/>
          <w:szCs w:val="22"/>
          <w:u w:val="single"/>
        </w:rPr>
        <w:t xml:space="preserve"> – Updated </w:t>
      </w:r>
      <w:r w:rsidR="00780331">
        <w:rPr>
          <w:rFonts w:asciiTheme="minorHAnsi" w:hAnsiTheme="minorHAnsi" w:cs="Times New Roman"/>
          <w:b/>
          <w:color w:val="auto"/>
          <w:sz w:val="22"/>
          <w:szCs w:val="22"/>
          <w:u w:val="single"/>
        </w:rPr>
        <w:t>December 18</w:t>
      </w:r>
      <w:r w:rsidRPr="00E97ADF">
        <w:rPr>
          <w:rFonts w:asciiTheme="minorHAnsi" w:hAnsiTheme="minorHAnsi" w:cs="Times New Roman"/>
          <w:b/>
          <w:color w:val="auto"/>
          <w:sz w:val="22"/>
          <w:szCs w:val="22"/>
          <w:u w:val="single"/>
        </w:rPr>
        <w:t>, 2015</w:t>
      </w:r>
    </w:p>
    <w:p w:rsidR="00366D4C" w:rsidRPr="00E97ADF" w:rsidRDefault="00780331" w:rsidP="00366D4C">
      <w:pPr>
        <w:rPr>
          <w:rFonts w:cs="Times New Roman"/>
        </w:rPr>
      </w:pPr>
      <w:r>
        <w:rPr>
          <w:rFonts w:cs="Times New Roman"/>
        </w:rPr>
        <w:t xml:space="preserve">Department of </w:t>
      </w:r>
      <w:r w:rsidR="00366D4C" w:rsidRPr="00E97ADF">
        <w:rPr>
          <w:rFonts w:cs="Times New Roman"/>
        </w:rPr>
        <w:t xml:space="preserve">Commerce’s Common Baseline Self-Assessment and Plan </w:t>
      </w:r>
      <w:r w:rsidR="000724BD">
        <w:rPr>
          <w:rFonts w:cs="Times New Roman"/>
        </w:rPr>
        <w:t xml:space="preserve">for FITARA implementation </w:t>
      </w:r>
      <w:r w:rsidR="00366D4C" w:rsidRPr="00E97ADF">
        <w:rPr>
          <w:rFonts w:cs="Times New Roman"/>
        </w:rPr>
        <w:t xml:space="preserve">based on the CIO and CXOs responsibilities as </w:t>
      </w:r>
      <w:r w:rsidR="000724BD">
        <w:rPr>
          <w:rFonts w:cs="Times New Roman"/>
        </w:rPr>
        <w:t xml:space="preserve">indicated by </w:t>
      </w:r>
      <w:r w:rsidR="00366D4C" w:rsidRPr="00E97ADF">
        <w:rPr>
          <w:rFonts w:cs="Times New Roman"/>
        </w:rPr>
        <w:t>OMB M-15-14.</w:t>
      </w:r>
    </w:p>
    <w:p w:rsidR="00366D4C" w:rsidRPr="001911E5" w:rsidRDefault="00366D4C" w:rsidP="00366D4C">
      <w:pPr>
        <w:rPr>
          <w:rFonts w:ascii="Times New Roman" w:hAnsi="Times New Roman" w:cs="Times New Roman"/>
        </w:rPr>
      </w:pPr>
    </w:p>
    <w:tbl>
      <w:tblPr>
        <w:tblW w:w="14873" w:type="dxa"/>
        <w:tblInd w:w="-810" w:type="dxa"/>
        <w:tblLayout w:type="fixed"/>
        <w:tblLook w:val="04A0" w:firstRow="1" w:lastRow="0" w:firstColumn="1" w:lastColumn="0" w:noHBand="0" w:noVBand="1"/>
      </w:tblPr>
      <w:tblGrid>
        <w:gridCol w:w="450"/>
        <w:gridCol w:w="1170"/>
        <w:gridCol w:w="5490"/>
        <w:gridCol w:w="3690"/>
        <w:gridCol w:w="4073"/>
      </w:tblGrid>
      <w:tr w:rsidR="00366D4C" w:rsidRPr="00E97ADF" w:rsidTr="004F2DDA">
        <w:trPr>
          <w:cantSplit/>
          <w:trHeight w:val="322"/>
          <w:tblHeader/>
        </w:trPr>
        <w:tc>
          <w:tcPr>
            <w:tcW w:w="450" w:type="dxa"/>
            <w:tcBorders>
              <w:top w:val="nil"/>
              <w:left w:val="nil"/>
              <w:bottom w:val="nil"/>
              <w:right w:val="single" w:sz="8" w:space="0" w:color="auto"/>
            </w:tcBorders>
            <w:shd w:val="clear" w:color="auto" w:fill="auto"/>
            <w:noWrap/>
            <w:vAlign w:val="bottom"/>
          </w:tcPr>
          <w:p w:rsidR="00366D4C" w:rsidRPr="001911E5" w:rsidRDefault="00366D4C" w:rsidP="003249CF">
            <w:pPr>
              <w:rPr>
                <w:rFonts w:ascii="Times New Roman" w:hAnsi="Times New Roman" w:cs="Times New Roman"/>
                <w:sz w:val="16"/>
                <w:szCs w:val="16"/>
              </w:rPr>
            </w:pPr>
            <w:bookmarkStart w:id="4" w:name="_Toc413237761"/>
          </w:p>
          <w:p w:rsidR="00366D4C" w:rsidRPr="001911E5" w:rsidRDefault="00366D4C" w:rsidP="003249CF">
            <w:pPr>
              <w:rPr>
                <w:rFonts w:ascii="Times New Roman" w:hAnsi="Times New Roman" w:cs="Times New Roman"/>
                <w:sz w:val="16"/>
                <w:szCs w:val="16"/>
              </w:rPr>
            </w:pPr>
          </w:p>
        </w:tc>
        <w:tc>
          <w:tcPr>
            <w:tcW w:w="1170"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bottom"/>
          </w:tcPr>
          <w:p w:rsidR="00366D4C" w:rsidRPr="00E97ADF" w:rsidRDefault="00366D4C" w:rsidP="003249CF">
            <w:pPr>
              <w:spacing w:after="0" w:line="240" w:lineRule="auto"/>
              <w:jc w:val="center"/>
              <w:rPr>
                <w:rFonts w:eastAsia="Times New Roman" w:cs="Times New Roman"/>
                <w:b/>
                <w:bCs/>
                <w:color w:val="000000"/>
                <w:sz w:val="18"/>
                <w:szCs w:val="18"/>
              </w:rPr>
            </w:pPr>
            <w:r w:rsidRPr="00E97ADF">
              <w:rPr>
                <w:rFonts w:eastAsia="Times New Roman" w:cs="Times New Roman"/>
                <w:b/>
                <w:bCs/>
                <w:color w:val="000000"/>
                <w:sz w:val="18"/>
                <w:szCs w:val="18"/>
              </w:rPr>
              <w:t>Overall Rating</w:t>
            </w:r>
          </w:p>
          <w:p w:rsidR="00366D4C" w:rsidRPr="00E97ADF" w:rsidRDefault="00366D4C" w:rsidP="003249CF">
            <w:pPr>
              <w:spacing w:after="0" w:line="240" w:lineRule="auto"/>
              <w:jc w:val="center"/>
              <w:rPr>
                <w:rFonts w:eastAsia="Times New Roman" w:cs="Times New Roman"/>
                <w:b/>
                <w:bCs/>
                <w:color w:val="000000"/>
                <w:sz w:val="18"/>
                <w:szCs w:val="18"/>
              </w:rPr>
            </w:pPr>
            <w:r w:rsidRPr="00E97ADF">
              <w:rPr>
                <w:rFonts w:eastAsia="Times New Roman" w:cs="Times New Roman"/>
                <w:b/>
                <w:bCs/>
                <w:color w:val="000000"/>
                <w:sz w:val="18"/>
                <w:szCs w:val="18"/>
              </w:rPr>
              <w:t>(1-3)*</w:t>
            </w:r>
          </w:p>
          <w:p w:rsidR="00366D4C" w:rsidRPr="00E97ADF" w:rsidRDefault="00366D4C" w:rsidP="003249CF">
            <w:pPr>
              <w:spacing w:after="0" w:line="240" w:lineRule="auto"/>
              <w:jc w:val="center"/>
              <w:rPr>
                <w:rFonts w:eastAsia="Times New Roman" w:cs="Times New Roman"/>
                <w:bCs/>
                <w:color w:val="000000"/>
                <w:sz w:val="18"/>
                <w:szCs w:val="18"/>
              </w:rPr>
            </w:pPr>
          </w:p>
        </w:tc>
        <w:tc>
          <w:tcPr>
            <w:tcW w:w="5490" w:type="dxa"/>
            <w:tcBorders>
              <w:top w:val="single" w:sz="8" w:space="0" w:color="auto"/>
              <w:left w:val="single" w:sz="8" w:space="0" w:color="auto"/>
              <w:bottom w:val="single" w:sz="8" w:space="0" w:color="auto"/>
              <w:right w:val="single" w:sz="8" w:space="0" w:color="auto"/>
            </w:tcBorders>
            <w:shd w:val="clear" w:color="auto" w:fill="DBE5F1" w:themeFill="accent1" w:themeFillTint="33"/>
            <w:noWrap/>
            <w:vAlign w:val="center"/>
          </w:tcPr>
          <w:p w:rsidR="00366D4C" w:rsidRPr="00E97ADF" w:rsidRDefault="00366D4C" w:rsidP="003249CF">
            <w:pPr>
              <w:spacing w:after="0" w:line="240" w:lineRule="auto"/>
              <w:jc w:val="center"/>
              <w:rPr>
                <w:rFonts w:eastAsia="Times New Roman" w:cs="Times New Roman"/>
                <w:b/>
                <w:bCs/>
                <w:color w:val="000000"/>
                <w:sz w:val="18"/>
                <w:szCs w:val="18"/>
              </w:rPr>
            </w:pPr>
          </w:p>
          <w:p w:rsidR="00366D4C" w:rsidRPr="00E97ADF" w:rsidRDefault="00366D4C" w:rsidP="003249CF">
            <w:pPr>
              <w:spacing w:after="0" w:line="240" w:lineRule="auto"/>
              <w:jc w:val="center"/>
              <w:rPr>
                <w:rFonts w:eastAsia="Times New Roman" w:cs="Times New Roman"/>
                <w:bCs/>
                <w:color w:val="000000"/>
                <w:sz w:val="18"/>
                <w:szCs w:val="18"/>
              </w:rPr>
            </w:pPr>
            <w:r w:rsidRPr="00E97ADF">
              <w:rPr>
                <w:rFonts w:eastAsia="Times New Roman" w:cs="Times New Roman"/>
                <w:b/>
                <w:bCs/>
                <w:color w:val="000000"/>
                <w:sz w:val="18"/>
                <w:szCs w:val="18"/>
              </w:rPr>
              <w:t>Agency Explanation for Overall Rating</w:t>
            </w:r>
          </w:p>
          <w:p w:rsidR="00366D4C" w:rsidRPr="00E97ADF" w:rsidRDefault="00366D4C" w:rsidP="003249CF">
            <w:pPr>
              <w:spacing w:after="0" w:line="240" w:lineRule="auto"/>
              <w:jc w:val="center"/>
              <w:rPr>
                <w:rFonts w:eastAsia="Times New Roman" w:cs="Times New Roman"/>
                <w:bCs/>
                <w:color w:val="000000"/>
                <w:sz w:val="18"/>
                <w:szCs w:val="18"/>
              </w:rPr>
            </w:pPr>
          </w:p>
        </w:tc>
        <w:tc>
          <w:tcPr>
            <w:tcW w:w="3690" w:type="dxa"/>
            <w:tcBorders>
              <w:top w:val="single" w:sz="8" w:space="0" w:color="auto"/>
              <w:left w:val="single" w:sz="8" w:space="0" w:color="auto"/>
              <w:bottom w:val="single" w:sz="8" w:space="0" w:color="auto"/>
              <w:right w:val="single" w:sz="8" w:space="0" w:color="auto"/>
            </w:tcBorders>
            <w:shd w:val="clear" w:color="000000" w:fill="DDEBF7"/>
            <w:noWrap/>
            <w:vAlign w:val="center"/>
          </w:tcPr>
          <w:p w:rsidR="00366D4C" w:rsidRPr="00E97ADF" w:rsidRDefault="00366D4C" w:rsidP="003249CF">
            <w:pPr>
              <w:spacing w:after="0" w:line="240" w:lineRule="auto"/>
              <w:jc w:val="center"/>
              <w:rPr>
                <w:rFonts w:eastAsia="Times New Roman" w:cs="Times New Roman"/>
                <w:b/>
                <w:bCs/>
                <w:color w:val="000000"/>
                <w:sz w:val="18"/>
                <w:szCs w:val="18"/>
              </w:rPr>
            </w:pPr>
            <w:r w:rsidRPr="00E97ADF">
              <w:rPr>
                <w:rFonts w:eastAsia="Times New Roman" w:cs="Times New Roman"/>
                <w:bCs/>
                <w:color w:val="000000"/>
                <w:sz w:val="18"/>
                <w:szCs w:val="18"/>
              </w:rPr>
              <w:t xml:space="preserve"> </w:t>
            </w:r>
            <w:r w:rsidRPr="00E97ADF">
              <w:rPr>
                <w:rFonts w:eastAsia="Times New Roman" w:cs="Times New Roman"/>
                <w:b/>
                <w:bCs/>
                <w:color w:val="000000"/>
                <w:sz w:val="18"/>
                <w:szCs w:val="18"/>
              </w:rPr>
              <w:t>Agency Action Plans</w:t>
            </w:r>
          </w:p>
          <w:p w:rsidR="00366D4C" w:rsidRPr="00E97ADF" w:rsidRDefault="00366D4C" w:rsidP="003249CF">
            <w:pPr>
              <w:spacing w:after="0" w:line="240" w:lineRule="auto"/>
              <w:jc w:val="center"/>
              <w:rPr>
                <w:rFonts w:eastAsia="Times New Roman" w:cs="Times New Roman"/>
                <w:b/>
                <w:bCs/>
                <w:color w:val="000000"/>
                <w:sz w:val="18"/>
                <w:szCs w:val="18"/>
              </w:rPr>
            </w:pPr>
            <w:r w:rsidRPr="00E97ADF">
              <w:rPr>
                <w:rFonts w:eastAsia="Times New Roman" w:cs="Times New Roman"/>
                <w:bCs/>
                <w:color w:val="000000"/>
                <w:sz w:val="18"/>
                <w:szCs w:val="18"/>
              </w:rPr>
              <w:t>(provide for ratings of 1 &amp; 2)</w:t>
            </w:r>
          </w:p>
        </w:tc>
        <w:tc>
          <w:tcPr>
            <w:tcW w:w="4073" w:type="dxa"/>
            <w:tcBorders>
              <w:top w:val="single" w:sz="8" w:space="0" w:color="auto"/>
              <w:left w:val="single" w:sz="8" w:space="0" w:color="auto"/>
              <w:bottom w:val="single" w:sz="8" w:space="0" w:color="auto"/>
              <w:right w:val="single" w:sz="8" w:space="0" w:color="auto"/>
            </w:tcBorders>
            <w:shd w:val="clear" w:color="000000" w:fill="DDEBF7"/>
            <w:noWrap/>
            <w:vAlign w:val="center"/>
          </w:tcPr>
          <w:p w:rsidR="00366D4C" w:rsidRPr="00E97ADF" w:rsidRDefault="00366D4C" w:rsidP="003249CF">
            <w:pPr>
              <w:spacing w:after="0" w:line="240" w:lineRule="auto"/>
              <w:jc w:val="center"/>
              <w:rPr>
                <w:rFonts w:eastAsia="Times New Roman" w:cs="Times New Roman"/>
                <w:b/>
                <w:bCs/>
                <w:color w:val="000000"/>
                <w:sz w:val="18"/>
                <w:szCs w:val="18"/>
              </w:rPr>
            </w:pPr>
            <w:r w:rsidRPr="00E97ADF">
              <w:rPr>
                <w:rFonts w:eastAsia="Times New Roman" w:cs="Times New Roman"/>
                <w:b/>
                <w:bCs/>
                <w:color w:val="000000"/>
                <w:sz w:val="18"/>
                <w:szCs w:val="18"/>
              </w:rPr>
              <w:t>Agency Evidence of Complete Implementation</w:t>
            </w:r>
          </w:p>
          <w:p w:rsidR="00366D4C" w:rsidRPr="00E97ADF" w:rsidRDefault="00366D4C" w:rsidP="003249CF">
            <w:pPr>
              <w:spacing w:after="0" w:line="240" w:lineRule="auto"/>
              <w:jc w:val="center"/>
              <w:rPr>
                <w:rFonts w:eastAsia="Times New Roman" w:cs="Times New Roman"/>
                <w:bCs/>
                <w:color w:val="000000"/>
                <w:sz w:val="18"/>
                <w:szCs w:val="18"/>
              </w:rPr>
            </w:pPr>
            <w:r w:rsidRPr="00E97ADF">
              <w:rPr>
                <w:rFonts w:eastAsia="Times New Roman" w:cs="Times New Roman"/>
                <w:bCs/>
                <w:color w:val="000000"/>
                <w:sz w:val="18"/>
                <w:szCs w:val="18"/>
              </w:rPr>
              <w:t>(provide for ratings of 3)</w:t>
            </w:r>
          </w:p>
        </w:tc>
      </w:tr>
      <w:tr w:rsidR="00366D4C" w:rsidRPr="001911E5" w:rsidTr="003249CF">
        <w:trPr>
          <w:cantSplit/>
          <w:trHeight w:val="19"/>
        </w:trPr>
        <w:tc>
          <w:tcPr>
            <w:tcW w:w="14873" w:type="dxa"/>
            <w:gridSpan w:val="5"/>
            <w:tcBorders>
              <w:top w:val="single" w:sz="4" w:space="0" w:color="auto"/>
              <w:left w:val="single" w:sz="4" w:space="0" w:color="auto"/>
              <w:bottom w:val="single" w:sz="2" w:space="0" w:color="auto"/>
              <w:right w:val="single" w:sz="4" w:space="0" w:color="auto"/>
            </w:tcBorders>
            <w:shd w:val="clear" w:color="auto" w:fill="auto"/>
            <w:noWrap/>
            <w:vAlign w:val="center"/>
          </w:tcPr>
          <w:p w:rsidR="00366D4C" w:rsidRPr="00E97ADF" w:rsidRDefault="00366D4C" w:rsidP="003249CF">
            <w:pPr>
              <w:spacing w:after="0" w:line="240" w:lineRule="auto"/>
              <w:rPr>
                <w:rFonts w:eastAsia="Times New Roman" w:cs="Times New Roman"/>
                <w:b/>
                <w:bCs/>
                <w:sz w:val="18"/>
                <w:szCs w:val="18"/>
              </w:rPr>
            </w:pPr>
            <w:r w:rsidRPr="00E97ADF">
              <w:rPr>
                <w:rFonts w:eastAsia="Times New Roman" w:cs="Times New Roman"/>
                <w:b/>
                <w:bCs/>
                <w:sz w:val="18"/>
                <w:szCs w:val="18"/>
              </w:rPr>
              <w:t xml:space="preserve">Budget Formulation and Planning.  </w:t>
            </w:r>
            <w:r w:rsidRPr="00E97ADF">
              <w:rPr>
                <w:rFonts w:eastAsia="Times New Roman" w:cs="Times New Roman"/>
                <w:bCs/>
                <w:sz w:val="18"/>
                <w:szCs w:val="18"/>
              </w:rPr>
              <w:t>FITARA: “The CIO has a significant role in the decision processes for all annual and multi-year planning, programming, budgeting, and execution decisions.”</w:t>
            </w:r>
          </w:p>
        </w:tc>
      </w:tr>
      <w:tr w:rsidR="00366D4C" w:rsidRPr="00771F5B" w:rsidTr="004F2DDA">
        <w:trPr>
          <w:cantSplit/>
          <w:trHeight w:val="1296"/>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366D4C" w:rsidRPr="001272C9" w:rsidRDefault="00366D4C" w:rsidP="003249CF">
            <w:pPr>
              <w:spacing w:after="0" w:line="240" w:lineRule="auto"/>
              <w:jc w:val="center"/>
              <w:rPr>
                <w:rFonts w:eastAsia="Times New Roman" w:cs="Times New Roman"/>
                <w:b/>
                <w:bCs/>
                <w:color w:val="000000"/>
                <w:sz w:val="20"/>
                <w:szCs w:val="20"/>
              </w:rPr>
            </w:pPr>
            <w:r w:rsidRPr="001272C9">
              <w:rPr>
                <w:rFonts w:eastAsia="Times New Roman" w:cs="Times New Roman"/>
                <w:b/>
                <w:bCs/>
                <w:color w:val="000000"/>
                <w:sz w:val="20"/>
                <w:szCs w:val="20"/>
              </w:rPr>
              <w:t>A</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366D4C" w:rsidRPr="00C17A5C" w:rsidRDefault="00780331" w:rsidP="003249CF">
            <w:pPr>
              <w:spacing w:after="0" w:line="240" w:lineRule="auto"/>
              <w:jc w:val="center"/>
              <w:rPr>
                <w:rFonts w:ascii="Times New Roman" w:eastAsia="Times New Roman" w:hAnsi="Times New Roman" w:cs="Times New Roman"/>
                <w:b/>
                <w:bCs/>
                <w:color w:val="000000"/>
                <w:sz w:val="96"/>
                <w:szCs w:val="96"/>
              </w:rPr>
            </w:pPr>
            <w:r>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366D4C" w:rsidRPr="00771F5B" w:rsidRDefault="00366D4C" w:rsidP="003249CF">
            <w:pPr>
              <w:rPr>
                <w:b/>
                <w:sz w:val="18"/>
                <w:szCs w:val="18"/>
              </w:rPr>
            </w:pPr>
            <w:r w:rsidRPr="00771F5B">
              <w:rPr>
                <w:b/>
                <w:sz w:val="18"/>
                <w:szCs w:val="18"/>
              </w:rPr>
              <w:t>Visibility of IT resource plans/decisions to CIO ~ Visibility of IT resource plans/decisions in budget materials</w:t>
            </w:r>
          </w:p>
          <w:p w:rsidR="00366D4C" w:rsidRPr="00771F5B" w:rsidRDefault="00366D4C" w:rsidP="00780331">
            <w:pPr>
              <w:rPr>
                <w:sz w:val="18"/>
                <w:szCs w:val="18"/>
              </w:rPr>
            </w:pPr>
            <w:r w:rsidRPr="00771F5B">
              <w:rPr>
                <w:sz w:val="18"/>
                <w:szCs w:val="18"/>
              </w:rPr>
              <w:t xml:space="preserve">DOC is </w:t>
            </w:r>
            <w:r w:rsidR="00780331">
              <w:rPr>
                <w:sz w:val="18"/>
                <w:szCs w:val="18"/>
              </w:rPr>
              <w:t>approaching</w:t>
            </w:r>
            <w:r w:rsidRPr="00771F5B">
              <w:rPr>
                <w:sz w:val="18"/>
                <w:szCs w:val="18"/>
              </w:rPr>
              <w:t xml:space="preserve"> full compliance with the requirement of this element.    In preparing the future budget proposal for OMB and Congress, the Department sends out Budget Formulation Guidance to all operating unit budget officers.  This guidance includes a separate section on Information Technology (IT) which requires all major investments, and all significant IT initiatives as defined by the CIO office with the CFO office’s assent, to prepare a business case using the Exhibit 300 format and to maintain it in the Department-wide Capital Planning and Investment Control (CPIC) system.  With the explicit exclusion of satellite ground systems, basic budget, acquisition, and performance information for all IT systems, major and non-major, is required to be entered into the Department’s CPIC system.  The data in this system which is managed by the CIO’s office, </w:t>
            </w:r>
            <w:r w:rsidR="000724BD">
              <w:rPr>
                <w:sz w:val="18"/>
                <w:szCs w:val="18"/>
              </w:rPr>
              <w:t xml:space="preserve"> and </w:t>
            </w:r>
            <w:r w:rsidRPr="00771F5B">
              <w:rPr>
                <w:sz w:val="18"/>
                <w:szCs w:val="18"/>
              </w:rPr>
              <w:t>is used to assess, analyze and generate reports on individual investment and the Department’s overall IT portfolio.  In addition, the CIO and his staff are part of the Milestone Review Board process which explicitly identifies stage gate review requirements for which “critical” investments including satellite systems must get approval before proceeding to the next stage.</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366D4C" w:rsidRDefault="00780331" w:rsidP="00780331">
            <w:pPr>
              <w:rPr>
                <w:sz w:val="18"/>
                <w:szCs w:val="18"/>
              </w:rPr>
            </w:pPr>
            <w:r>
              <w:rPr>
                <w:sz w:val="18"/>
                <w:szCs w:val="18"/>
              </w:rPr>
              <w:t xml:space="preserve">The </w:t>
            </w:r>
            <w:r w:rsidR="000724BD">
              <w:rPr>
                <w:sz w:val="18"/>
                <w:szCs w:val="18"/>
              </w:rPr>
              <w:t xml:space="preserve">Budget Formulation process will be modified to allow the </w:t>
            </w:r>
            <w:r>
              <w:rPr>
                <w:sz w:val="18"/>
                <w:szCs w:val="18"/>
              </w:rPr>
              <w:t xml:space="preserve">CIO </w:t>
            </w:r>
            <w:r w:rsidR="000724BD">
              <w:rPr>
                <w:sz w:val="18"/>
                <w:szCs w:val="18"/>
              </w:rPr>
              <w:t>to</w:t>
            </w:r>
            <w:r>
              <w:rPr>
                <w:sz w:val="18"/>
                <w:szCs w:val="18"/>
              </w:rPr>
              <w:t xml:space="preserve"> expand his review of</w:t>
            </w:r>
            <w:r w:rsidR="005F05A0">
              <w:rPr>
                <w:sz w:val="18"/>
                <w:szCs w:val="18"/>
              </w:rPr>
              <w:t xml:space="preserve"> proposed</w:t>
            </w:r>
            <w:r>
              <w:rPr>
                <w:sz w:val="18"/>
                <w:szCs w:val="18"/>
              </w:rPr>
              <w:t xml:space="preserve"> IT investments to cover the entire IT Portfolio Report (formerly known as the exhibit 53).  This will increase oversight to cover almost all IT spend</w:t>
            </w:r>
            <w:r w:rsidR="000724BD">
              <w:rPr>
                <w:sz w:val="18"/>
                <w:szCs w:val="18"/>
              </w:rPr>
              <w:t>ing</w:t>
            </w:r>
            <w:r>
              <w:rPr>
                <w:sz w:val="18"/>
                <w:szCs w:val="18"/>
              </w:rPr>
              <w:t xml:space="preserve">.  In addition, separate IT portfolio reviews are being scheduled with each bureau within Commerce.  The CFO and CIO offices are preparing guidance documents to this affect and they should be signed by February 2016. </w:t>
            </w:r>
          </w:p>
          <w:p w:rsidR="00780331" w:rsidRPr="00771F5B" w:rsidRDefault="00780331" w:rsidP="00780331">
            <w:pPr>
              <w:rPr>
                <w:sz w:val="18"/>
                <w:szCs w:val="18"/>
              </w:rPr>
            </w:pPr>
            <w:r>
              <w:rPr>
                <w:sz w:val="18"/>
                <w:szCs w:val="18"/>
              </w:rPr>
              <w:t xml:space="preserve">Documentation of the existing review process is contained in </w:t>
            </w:r>
            <w:r w:rsidRPr="00771F5B">
              <w:rPr>
                <w:sz w:val="18"/>
                <w:szCs w:val="18"/>
              </w:rPr>
              <w:t>a FITARA OMB Max page listing all artifacts and resources as required by FITARA. (</w:t>
            </w:r>
            <w:hyperlink r:id="rId7" w:history="1">
              <w:r w:rsidRPr="00771F5B">
                <w:rPr>
                  <w:rStyle w:val="Hyperlink"/>
                  <w:i/>
                  <w:sz w:val="18"/>
                  <w:szCs w:val="18"/>
                </w:rPr>
                <w:t>https://community.max.gov/x/3ACgO</w:t>
              </w:r>
            </w:hyperlink>
            <w:r w:rsidRPr="00771F5B">
              <w:rPr>
                <w:rStyle w:val="Hyperlink"/>
                <w:sz w:val="18"/>
                <w:szCs w:val="18"/>
              </w:rPr>
              <w:t>)</w:t>
            </w:r>
          </w:p>
          <w:p w:rsidR="00780331" w:rsidRPr="00771F5B" w:rsidRDefault="00780331" w:rsidP="00780331">
            <w:pPr>
              <w:pStyle w:val="ListParagraph"/>
              <w:numPr>
                <w:ilvl w:val="0"/>
                <w:numId w:val="1"/>
              </w:numPr>
              <w:rPr>
                <w:sz w:val="18"/>
                <w:szCs w:val="18"/>
              </w:rPr>
            </w:pPr>
            <w:r w:rsidRPr="00771F5B">
              <w:rPr>
                <w:sz w:val="18"/>
                <w:szCs w:val="18"/>
              </w:rPr>
              <w:t>CITRB Charter</w:t>
            </w:r>
          </w:p>
          <w:p w:rsidR="00780331" w:rsidRPr="00771F5B" w:rsidRDefault="00780331" w:rsidP="00780331">
            <w:pPr>
              <w:pStyle w:val="ListParagraph"/>
              <w:numPr>
                <w:ilvl w:val="0"/>
                <w:numId w:val="1"/>
              </w:numPr>
              <w:rPr>
                <w:sz w:val="18"/>
                <w:szCs w:val="18"/>
              </w:rPr>
            </w:pPr>
            <w:r w:rsidRPr="00771F5B">
              <w:rPr>
                <w:sz w:val="18"/>
                <w:szCs w:val="18"/>
              </w:rPr>
              <w:t>Budget Call Memo</w:t>
            </w:r>
          </w:p>
          <w:p w:rsidR="00780331" w:rsidRPr="000724BD" w:rsidRDefault="00780331" w:rsidP="000724BD">
            <w:pPr>
              <w:pStyle w:val="ListParagraph"/>
              <w:numPr>
                <w:ilvl w:val="0"/>
                <w:numId w:val="1"/>
              </w:numPr>
              <w:rPr>
                <w:sz w:val="18"/>
                <w:szCs w:val="18"/>
              </w:rPr>
            </w:pPr>
            <w:r w:rsidRPr="000724BD">
              <w:rPr>
                <w:sz w:val="18"/>
                <w:szCs w:val="18"/>
              </w:rPr>
              <w:t>Milestone Review Board Charter</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D94DE5" w:rsidRPr="00771F5B" w:rsidRDefault="00D94DE5" w:rsidP="00A37219">
            <w:pPr>
              <w:pStyle w:val="ListParagraph"/>
              <w:rPr>
                <w:sz w:val="18"/>
                <w:szCs w:val="18"/>
              </w:rPr>
            </w:pPr>
          </w:p>
        </w:tc>
      </w:tr>
      <w:tr w:rsidR="00780331" w:rsidRPr="00E97ADF" w:rsidTr="004F2DDA">
        <w:trPr>
          <w:cantSplit/>
          <w:trHeight w:val="1296"/>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B</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C17A5C" w:rsidRDefault="00780331" w:rsidP="003249CF">
            <w:pPr>
              <w:spacing w:after="0" w:line="240" w:lineRule="auto"/>
              <w:jc w:val="center"/>
              <w:rPr>
                <w:rFonts w:ascii="Times New Roman" w:eastAsia="Times New Roman" w:hAnsi="Times New Roman" w:cs="Times New Roman"/>
                <w:b/>
                <w:bCs/>
                <w:color w:val="000000"/>
                <w:sz w:val="96"/>
                <w:szCs w:val="96"/>
              </w:rPr>
            </w:pPr>
            <w:r>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771F5B" w:rsidRDefault="00780331" w:rsidP="003249CF">
            <w:pPr>
              <w:rPr>
                <w:b/>
                <w:sz w:val="18"/>
                <w:szCs w:val="18"/>
              </w:rPr>
            </w:pPr>
            <w:r w:rsidRPr="00771F5B">
              <w:rPr>
                <w:b/>
                <w:sz w:val="18"/>
                <w:szCs w:val="18"/>
              </w:rPr>
              <w:t>CIO role in pre-budget submission for programs</w:t>
            </w:r>
          </w:p>
          <w:p w:rsidR="00780331" w:rsidRPr="00771F5B" w:rsidRDefault="00780331" w:rsidP="00780331">
            <w:pPr>
              <w:rPr>
                <w:sz w:val="18"/>
                <w:szCs w:val="18"/>
              </w:rPr>
            </w:pPr>
            <w:r>
              <w:rPr>
                <w:sz w:val="18"/>
                <w:szCs w:val="18"/>
              </w:rPr>
              <w:t xml:space="preserve">DOC is almost in </w:t>
            </w:r>
            <w:r w:rsidRPr="00771F5B">
              <w:rPr>
                <w:sz w:val="18"/>
                <w:szCs w:val="18"/>
              </w:rPr>
              <w:t>full compliance with the requirement of this element.  All the budget guidance issued in preparing the future budget proposal for OMB and Congress are developed with input, oversight and guidance from the CFO, CIO, and the CAO.  Each year the Department sends out Budget Formulation Guidance to all the agency budget officers. This guidance includes a separate section on Information Technology which the CIO office takes the lead in developing but which all three offices review.  In addition, a complementary and more detailed Information Technology Budget Process and Review Guidance is prepared each year with input from the CFO and CAO staff and is addressed directly to all the operating unit CIOs and CFOs.  Per this guidance, the CIO’s office, with the ratification of the CFO and CAO offices, determines which of the IT budget requests require review and, if so, whether from the full Commerce IT Review Board or via a staff level review.  At both levels the CFO, CAO offices work together with the CIO and his staff in conducting reviews and rating the appropriateness and maturity of the investment for inclusion in the Department’s budget. Once approved, IT investments are reviewed throughout their life cycle either by the Department CIO for major IT programs or delegated to operating unit CIOs for non-major IT investments.</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0724BD" w:rsidRDefault="000724BD" w:rsidP="000724BD">
            <w:pPr>
              <w:rPr>
                <w:sz w:val="18"/>
                <w:szCs w:val="18"/>
              </w:rPr>
            </w:pPr>
            <w:r>
              <w:rPr>
                <w:sz w:val="18"/>
                <w:szCs w:val="18"/>
              </w:rPr>
              <w:t xml:space="preserve">The Budget Formulation process will be modified to allow the CIO to expand his review of proposed IT investments to cover the entire IT Portfolio Report (formerly known as the exhibit 53).  This will increase oversight to cover almost all IT spending.  In addition, separate IT portfolio reviews are being scheduled with each bureau within Commerce.  The CFO and CIO offices are preparing guidance documents to this affect and they should be signed by February 2016. </w:t>
            </w:r>
          </w:p>
          <w:p w:rsidR="00780331" w:rsidRPr="00771F5B" w:rsidRDefault="000724BD" w:rsidP="00780331">
            <w:pPr>
              <w:rPr>
                <w:sz w:val="18"/>
                <w:szCs w:val="18"/>
              </w:rPr>
            </w:pPr>
            <w:r>
              <w:rPr>
                <w:sz w:val="18"/>
                <w:szCs w:val="18"/>
              </w:rPr>
              <w:t>Docu</w:t>
            </w:r>
            <w:r w:rsidR="00780331">
              <w:rPr>
                <w:sz w:val="18"/>
                <w:szCs w:val="18"/>
              </w:rPr>
              <w:t xml:space="preserve">mentation of the existing review process is contained in </w:t>
            </w:r>
            <w:r w:rsidR="00780331" w:rsidRPr="00771F5B">
              <w:rPr>
                <w:sz w:val="18"/>
                <w:szCs w:val="18"/>
              </w:rPr>
              <w:t>a FITARA OMB Max page listing all artifacts and resources as required by FITARA. (</w:t>
            </w:r>
            <w:hyperlink r:id="rId8" w:history="1">
              <w:r w:rsidR="00780331" w:rsidRPr="00771F5B">
                <w:rPr>
                  <w:rStyle w:val="Hyperlink"/>
                  <w:i/>
                  <w:sz w:val="18"/>
                  <w:szCs w:val="18"/>
                </w:rPr>
                <w:t>https://community.max.gov/x/3ACgO</w:t>
              </w:r>
            </w:hyperlink>
            <w:r w:rsidR="00780331" w:rsidRPr="00771F5B">
              <w:rPr>
                <w:rStyle w:val="Hyperlink"/>
                <w:sz w:val="18"/>
                <w:szCs w:val="18"/>
              </w:rPr>
              <w:t>)</w:t>
            </w:r>
          </w:p>
          <w:p w:rsidR="00780331" w:rsidRPr="00771F5B" w:rsidRDefault="00780331" w:rsidP="00780331">
            <w:pPr>
              <w:pStyle w:val="ListParagraph"/>
              <w:numPr>
                <w:ilvl w:val="0"/>
                <w:numId w:val="1"/>
              </w:numPr>
              <w:rPr>
                <w:sz w:val="18"/>
                <w:szCs w:val="18"/>
              </w:rPr>
            </w:pPr>
            <w:r w:rsidRPr="00771F5B">
              <w:rPr>
                <w:sz w:val="18"/>
                <w:szCs w:val="18"/>
              </w:rPr>
              <w:t>CITRB Charter</w:t>
            </w:r>
          </w:p>
          <w:p w:rsidR="00780331" w:rsidRPr="00771F5B" w:rsidRDefault="00780331" w:rsidP="00780331">
            <w:pPr>
              <w:pStyle w:val="ListParagraph"/>
              <w:numPr>
                <w:ilvl w:val="0"/>
                <w:numId w:val="1"/>
              </w:numPr>
              <w:rPr>
                <w:sz w:val="18"/>
                <w:szCs w:val="18"/>
              </w:rPr>
            </w:pPr>
            <w:r w:rsidRPr="00771F5B">
              <w:rPr>
                <w:sz w:val="18"/>
                <w:szCs w:val="18"/>
              </w:rPr>
              <w:t>Budget Call Memo</w:t>
            </w:r>
          </w:p>
          <w:p w:rsidR="00780331" w:rsidRPr="00771F5B" w:rsidRDefault="00780331" w:rsidP="00780331">
            <w:pPr>
              <w:pStyle w:val="ListParagraph"/>
              <w:numPr>
                <w:ilvl w:val="0"/>
                <w:numId w:val="2"/>
              </w:numPr>
              <w:rPr>
                <w:sz w:val="18"/>
                <w:szCs w:val="18"/>
              </w:rPr>
            </w:pPr>
            <w:r w:rsidRPr="00771F5B">
              <w:rPr>
                <w:sz w:val="18"/>
                <w:szCs w:val="18"/>
              </w:rPr>
              <w:t>Milestone Review Board Charter</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771F5B" w:rsidRDefault="00780331" w:rsidP="000724BD">
            <w:pPr>
              <w:pStyle w:val="ListParagraph"/>
              <w:rPr>
                <w:sz w:val="18"/>
                <w:szCs w:val="18"/>
              </w:rPr>
            </w:pPr>
          </w:p>
        </w:tc>
      </w:tr>
      <w:tr w:rsidR="00780331" w:rsidRPr="001911E5" w:rsidTr="004F2DDA">
        <w:trPr>
          <w:cantSplit/>
          <w:trHeight w:val="1296"/>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C</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C17A5C" w:rsidRDefault="005F05A0" w:rsidP="003249CF">
            <w:pPr>
              <w:spacing w:after="0" w:line="240" w:lineRule="auto"/>
              <w:jc w:val="center"/>
              <w:rPr>
                <w:rFonts w:ascii="Times New Roman" w:eastAsia="Times New Roman" w:hAnsi="Times New Roman" w:cs="Times New Roman"/>
                <w:b/>
                <w:bCs/>
                <w:color w:val="000000"/>
                <w:sz w:val="96"/>
                <w:szCs w:val="96"/>
              </w:rPr>
            </w:pPr>
            <w:r>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771F5B" w:rsidRDefault="00780331" w:rsidP="003249CF">
            <w:pPr>
              <w:rPr>
                <w:b/>
                <w:sz w:val="18"/>
                <w:szCs w:val="18"/>
              </w:rPr>
            </w:pPr>
            <w:r w:rsidRPr="00771F5B">
              <w:rPr>
                <w:b/>
                <w:sz w:val="18"/>
                <w:szCs w:val="18"/>
              </w:rPr>
              <w:t>CIO role in planning program management</w:t>
            </w:r>
          </w:p>
          <w:p w:rsidR="00780331" w:rsidRPr="00771F5B" w:rsidRDefault="00780331" w:rsidP="00976F57">
            <w:pPr>
              <w:rPr>
                <w:sz w:val="18"/>
                <w:szCs w:val="18"/>
              </w:rPr>
            </w:pPr>
            <w:r w:rsidRPr="00771F5B">
              <w:rPr>
                <w:sz w:val="18"/>
                <w:szCs w:val="18"/>
              </w:rPr>
              <w:t>DOC is</w:t>
            </w:r>
            <w:r w:rsidR="005F05A0">
              <w:rPr>
                <w:sz w:val="18"/>
                <w:szCs w:val="18"/>
              </w:rPr>
              <w:t xml:space="preserve"> almost</w:t>
            </w:r>
            <w:r w:rsidRPr="00771F5B">
              <w:rPr>
                <w:sz w:val="18"/>
                <w:szCs w:val="18"/>
              </w:rPr>
              <w:t xml:space="preserve"> in full compliance with the requirement of this element.  The CIO participates directly in budget planning and development via several agency-wide processes.  All major IT initiatives that are proposed for the agency budget request to the President are first reviewed and approved by the Commerce IT Review Board (CITRB) which is chaired by the CIO.  The CITRB rates the investments on a 1 to 5 scale across 5 major assessment areas; Program/Project Management, Shared Services, IT and Cyber Security, Approach and Subject Matter Expertise, and overall Health and Wellness. In addition, the CIO participates in the Deputy Secretary’s review of the agency budget request each year and incorporates his/her thoughts concerning such investment proposals. The CIO is a Board Member of the Department’s Milestone Review Board (MRB) which includes all Departmental CXO’s and provides approval for an investment to proceed to the next stage gate.</w:t>
            </w:r>
            <w:r w:rsidRPr="00771F5B">
              <w:rPr>
                <w:rFonts w:ascii="Times New Roman" w:eastAsia="Times New Roman" w:hAnsi="Times New Roman" w:cs="Times New Roman"/>
                <w:bCs/>
                <w:color w:val="000000"/>
                <w:sz w:val="18"/>
                <w:szCs w:val="18"/>
              </w:rPr>
              <w:t>     </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5F05A0" w:rsidRDefault="005F05A0" w:rsidP="005F05A0">
            <w:pPr>
              <w:rPr>
                <w:sz w:val="18"/>
                <w:szCs w:val="18"/>
              </w:rPr>
            </w:pPr>
            <w:r>
              <w:rPr>
                <w:sz w:val="18"/>
                <w:szCs w:val="18"/>
              </w:rPr>
              <w:t>The CIO is expanding his/her review of the Department’s IT portfolio to include IT investment reviews, based on the IT baseline that covers both major and non</w:t>
            </w:r>
            <w:r w:rsidR="000724BD">
              <w:rPr>
                <w:sz w:val="18"/>
                <w:szCs w:val="18"/>
              </w:rPr>
              <w:t>-</w:t>
            </w:r>
            <w:r>
              <w:rPr>
                <w:sz w:val="18"/>
                <w:szCs w:val="18"/>
              </w:rPr>
              <w:t xml:space="preserve">major IT projects, IT project reviews, IT portfolio reviews, </w:t>
            </w:r>
            <w:proofErr w:type="spellStart"/>
            <w:r>
              <w:rPr>
                <w:sz w:val="18"/>
                <w:szCs w:val="18"/>
              </w:rPr>
              <w:t>Techstat</w:t>
            </w:r>
            <w:proofErr w:type="spellEnd"/>
            <w:r>
              <w:rPr>
                <w:sz w:val="18"/>
                <w:szCs w:val="18"/>
              </w:rPr>
              <w:t xml:space="preserve"> and Portfolio stats.  For bureaus </w:t>
            </w:r>
            <w:proofErr w:type="spellStart"/>
            <w:r>
              <w:rPr>
                <w:sz w:val="18"/>
                <w:szCs w:val="18"/>
              </w:rPr>
              <w:t>Techstats</w:t>
            </w:r>
            <w:proofErr w:type="spellEnd"/>
            <w:r>
              <w:rPr>
                <w:sz w:val="18"/>
                <w:szCs w:val="18"/>
              </w:rPr>
              <w:t xml:space="preserve"> and internal review, the Office of the CIO will be invited and will attend and participate.  Processes and policies to implement these actions are being prepared and will be implemented starting in February 2016.</w:t>
            </w:r>
          </w:p>
          <w:p w:rsidR="005F05A0" w:rsidRPr="00771F5B" w:rsidRDefault="005F05A0" w:rsidP="005F05A0">
            <w:pPr>
              <w:rPr>
                <w:sz w:val="18"/>
                <w:szCs w:val="18"/>
              </w:rPr>
            </w:pPr>
            <w:r>
              <w:rPr>
                <w:sz w:val="18"/>
                <w:szCs w:val="18"/>
              </w:rPr>
              <w:t xml:space="preserve">Documentation of the existing review process is contained in </w:t>
            </w:r>
            <w:r w:rsidRPr="00771F5B">
              <w:rPr>
                <w:sz w:val="18"/>
                <w:szCs w:val="18"/>
              </w:rPr>
              <w:t>a FITARA OMB Max page listing all artifacts and resources as required by FITARA. (</w:t>
            </w:r>
            <w:hyperlink r:id="rId9" w:history="1">
              <w:r w:rsidRPr="00771F5B">
                <w:rPr>
                  <w:rStyle w:val="Hyperlink"/>
                  <w:i/>
                  <w:sz w:val="18"/>
                  <w:szCs w:val="18"/>
                </w:rPr>
                <w:t>https://community.max.gov/x/3ACgO</w:t>
              </w:r>
            </w:hyperlink>
            <w:r w:rsidRPr="00771F5B">
              <w:rPr>
                <w:rStyle w:val="Hyperlink"/>
                <w:sz w:val="18"/>
                <w:szCs w:val="18"/>
              </w:rPr>
              <w:t>)</w:t>
            </w:r>
          </w:p>
          <w:p w:rsidR="005F05A0" w:rsidRPr="00771F5B" w:rsidRDefault="005F05A0" w:rsidP="005F05A0">
            <w:pPr>
              <w:pStyle w:val="ListParagraph"/>
              <w:numPr>
                <w:ilvl w:val="0"/>
                <w:numId w:val="1"/>
              </w:numPr>
              <w:rPr>
                <w:sz w:val="18"/>
                <w:szCs w:val="18"/>
              </w:rPr>
            </w:pPr>
            <w:r w:rsidRPr="00771F5B">
              <w:rPr>
                <w:sz w:val="18"/>
                <w:szCs w:val="18"/>
              </w:rPr>
              <w:t>CITRB Charter</w:t>
            </w:r>
          </w:p>
          <w:p w:rsidR="005F05A0" w:rsidRPr="00771F5B" w:rsidRDefault="005F05A0" w:rsidP="005F05A0">
            <w:pPr>
              <w:pStyle w:val="ListParagraph"/>
              <w:numPr>
                <w:ilvl w:val="0"/>
                <w:numId w:val="1"/>
              </w:numPr>
              <w:rPr>
                <w:sz w:val="18"/>
                <w:szCs w:val="18"/>
              </w:rPr>
            </w:pPr>
            <w:r w:rsidRPr="00771F5B">
              <w:rPr>
                <w:sz w:val="18"/>
                <w:szCs w:val="18"/>
              </w:rPr>
              <w:t>Budget Call Memo</w:t>
            </w:r>
          </w:p>
          <w:p w:rsidR="00780331" w:rsidRPr="009C75F1" w:rsidRDefault="005F05A0" w:rsidP="009C75F1">
            <w:pPr>
              <w:pStyle w:val="ListParagraph"/>
              <w:numPr>
                <w:ilvl w:val="0"/>
                <w:numId w:val="1"/>
              </w:numPr>
              <w:rPr>
                <w:sz w:val="18"/>
                <w:szCs w:val="18"/>
              </w:rPr>
            </w:pPr>
            <w:r w:rsidRPr="009C75F1">
              <w:rPr>
                <w:sz w:val="18"/>
                <w:szCs w:val="18"/>
              </w:rPr>
              <w:t>Milestone Review Board Charter</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771F5B" w:rsidRDefault="00780331" w:rsidP="000724BD">
            <w:pPr>
              <w:pStyle w:val="ListParagraph"/>
              <w:spacing w:after="0" w:line="240" w:lineRule="auto"/>
              <w:rPr>
                <w:rFonts w:ascii="Times New Roman" w:eastAsia="Times New Roman" w:hAnsi="Times New Roman" w:cs="Times New Roman"/>
                <w:bCs/>
                <w:color w:val="000000"/>
                <w:sz w:val="18"/>
                <w:szCs w:val="18"/>
              </w:rPr>
            </w:pPr>
          </w:p>
        </w:tc>
      </w:tr>
      <w:tr w:rsidR="00780331" w:rsidRPr="001911E5" w:rsidTr="004F2DDA">
        <w:trPr>
          <w:cantSplit/>
          <w:trHeight w:val="1296"/>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D</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sidRPr="007A7538">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771F5B" w:rsidRDefault="00780331" w:rsidP="003249CF">
            <w:pPr>
              <w:rPr>
                <w:b/>
                <w:sz w:val="18"/>
                <w:szCs w:val="18"/>
              </w:rPr>
            </w:pPr>
            <w:r w:rsidRPr="00771F5B">
              <w:rPr>
                <w:b/>
                <w:sz w:val="18"/>
                <w:szCs w:val="18"/>
              </w:rPr>
              <w:t>CIO approves major IT investment portion of budget request</w:t>
            </w:r>
          </w:p>
          <w:p w:rsidR="00780331" w:rsidRPr="00771F5B" w:rsidRDefault="00780331" w:rsidP="00976F57">
            <w:pPr>
              <w:rPr>
                <w:sz w:val="18"/>
                <w:szCs w:val="18"/>
              </w:rPr>
            </w:pPr>
            <w:r w:rsidRPr="00771F5B">
              <w:rPr>
                <w:sz w:val="18"/>
                <w:szCs w:val="18"/>
              </w:rPr>
              <w:t>DOC is in partial compliance with the requirement of this element. The process for reviewing all proposed IT budget increases and decreases is specified in jointly developed budget calls.  The CIO and CFO offices work together to determine which IT budget increases and decreases need review. Those identified as candidates for further review are brought before the Commerce IT Review Board's special budget sessions. These meetings, which are co-chaired by the CIO and CFO assess and rate the investments. This assessment and rating is an integral part of determining what goes into the Department's budget submission to OMB.  In addition, the CIO participates in the final budget decision meetings chaired by the CFO and/or Deputy Secretary. The Agency IT Portfolio is shared with the CFO office prior to submission to confirm that they support the Department's budget submission.</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771F5B" w:rsidRDefault="00780331" w:rsidP="00D94DE5">
            <w:pPr>
              <w:rPr>
                <w:sz w:val="18"/>
                <w:szCs w:val="18"/>
              </w:rPr>
            </w:pPr>
            <w:r w:rsidRPr="00771F5B">
              <w:rPr>
                <w:sz w:val="18"/>
                <w:szCs w:val="18"/>
              </w:rPr>
              <w:t>The Department CIO participates in both the initial and final budget decision meetings. These meetings are coordinated by the DOC Budget Office and occur in alignment with the federal budget formulation and submission process.  As a recent example, the CIO reviewed the DOC IT Investment Portfolio in June and August 2015.</w:t>
            </w:r>
          </w:p>
          <w:p w:rsidR="00780331" w:rsidRPr="00771F5B" w:rsidRDefault="00780331" w:rsidP="00D94DE5">
            <w:pPr>
              <w:rPr>
                <w:sz w:val="18"/>
                <w:szCs w:val="18"/>
              </w:rPr>
            </w:pPr>
            <w:r w:rsidRPr="00771F5B">
              <w:rPr>
                <w:sz w:val="18"/>
                <w:szCs w:val="18"/>
              </w:rPr>
              <w:t>DOC will provide a plan to include documentation that affirms the CIO has reviewed and approved major IT investments.  The policy documents that govern the Department Budget process will be modified to reflect this by April 30</w:t>
            </w:r>
            <w:r w:rsidRPr="00771F5B">
              <w:rPr>
                <w:sz w:val="18"/>
                <w:szCs w:val="18"/>
                <w:vertAlign w:val="superscript"/>
              </w:rPr>
              <w:t>th</w:t>
            </w:r>
            <w:r w:rsidRPr="00771F5B">
              <w:rPr>
                <w:sz w:val="18"/>
                <w:szCs w:val="18"/>
              </w:rPr>
              <w:t xml:space="preserve"> 2016 or earlier, and will be implemented in the FY 18 budget formulation documents provided to OMB in September 2016.</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771F5B" w:rsidRDefault="00780331" w:rsidP="003249CF">
            <w:pPr>
              <w:rPr>
                <w:sz w:val="18"/>
                <w:szCs w:val="18"/>
              </w:rPr>
            </w:pPr>
            <w:r w:rsidRPr="00771F5B">
              <w:rPr>
                <w:sz w:val="18"/>
                <w:szCs w:val="18"/>
              </w:rPr>
              <w:t> </w:t>
            </w:r>
          </w:p>
        </w:tc>
      </w:tr>
      <w:tr w:rsidR="00780331" w:rsidRPr="001911E5" w:rsidTr="003249CF">
        <w:trPr>
          <w:cantSplit/>
          <w:trHeight w:val="334"/>
        </w:trPr>
        <w:tc>
          <w:tcPr>
            <w:tcW w:w="14873"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C15ECA" w:rsidRDefault="00780331" w:rsidP="003249CF">
            <w:pPr>
              <w:rPr>
                <w:sz w:val="18"/>
                <w:szCs w:val="18"/>
              </w:rPr>
            </w:pPr>
            <w:r w:rsidRPr="00C15ECA">
              <w:rPr>
                <w:rFonts w:eastAsia="Times New Roman" w:cs="Times New Roman"/>
                <w:b/>
                <w:bCs/>
                <w:sz w:val="18"/>
                <w:szCs w:val="18"/>
              </w:rPr>
              <w:t>Acquisition and Execution</w:t>
            </w:r>
            <w:r w:rsidRPr="00C15ECA">
              <w:rPr>
                <w:rFonts w:eastAsia="Times New Roman" w:cs="Times New Roman"/>
                <w:bCs/>
                <w:sz w:val="18"/>
                <w:szCs w:val="18"/>
              </w:rPr>
              <w:t>.  FITARA: “The CIO has a significant role in the decision processes for all annual and multi-year planning, programming, budgeting, and execution decisions; management, governance and oversight processes related to IT; and certifies that IT investments are adequately implementing incremental development as defined in OMB capital planning guidance.”</w:t>
            </w:r>
          </w:p>
        </w:tc>
      </w:tr>
      <w:tr w:rsidR="00780331" w:rsidRPr="001911E5" w:rsidTr="004F2DDA">
        <w:trPr>
          <w:cantSplit/>
          <w:trHeight w:val="1152"/>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E</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771F5B" w:rsidRDefault="00780331" w:rsidP="003249CF">
            <w:pPr>
              <w:rPr>
                <w:b/>
                <w:sz w:val="18"/>
                <w:szCs w:val="18"/>
              </w:rPr>
            </w:pPr>
            <w:r w:rsidRPr="00771F5B">
              <w:rPr>
                <w:b/>
                <w:sz w:val="18"/>
                <w:szCs w:val="18"/>
              </w:rPr>
              <w:t>Ongoing CIO engagement with program managers</w:t>
            </w:r>
          </w:p>
          <w:p w:rsidR="00780331" w:rsidRPr="00771F5B" w:rsidRDefault="00780331" w:rsidP="00C15ECA">
            <w:pPr>
              <w:rPr>
                <w:sz w:val="18"/>
                <w:szCs w:val="18"/>
              </w:rPr>
            </w:pPr>
            <w:r w:rsidRPr="00771F5B">
              <w:rPr>
                <w:sz w:val="18"/>
                <w:szCs w:val="18"/>
              </w:rPr>
              <w:t xml:space="preserve">DOC is in partial compliance with the requirement of this element.  The Department and Bureau CIOs work with their investment managers to ensure that they support agency strategic objectives. The CITRB budget evaluation as well as the operational analysis includes an assessment of the investment’s contribution to meet the Department’s strategic objectives. Once funded the DOC CIO assesses and issues an evaluation every month of all major IT investments.  If an investment is performing poorly or not sharing sufficient information to assess its progress in meeting agency strategic objectives, the acquisition or investment may be called in for additional review in the form of a </w:t>
            </w:r>
            <w:proofErr w:type="spellStart"/>
            <w:r w:rsidRPr="00771F5B">
              <w:rPr>
                <w:sz w:val="18"/>
                <w:szCs w:val="18"/>
              </w:rPr>
              <w:t>TechStat</w:t>
            </w:r>
            <w:proofErr w:type="spellEnd"/>
            <w:r w:rsidRPr="00771F5B">
              <w:rPr>
                <w:sz w:val="18"/>
                <w:szCs w:val="18"/>
              </w:rPr>
              <w:t xml:space="preserve"> or Commerce IT Review Board assessment. This may result in a recommendation for a change in strategy, the assignment of an internal Tiger Team to identify solutions, or ultimately, a suspension or cancellation.</w:t>
            </w:r>
            <w:r w:rsidRPr="00771F5B">
              <w:rPr>
                <w:rFonts w:ascii="Times New Roman" w:eastAsia="Times New Roman" w:hAnsi="Times New Roman" w:cs="Times New Roman"/>
                <w:bCs/>
                <w:color w:val="000000"/>
                <w:sz w:val="18"/>
                <w:szCs w:val="18"/>
              </w:rPr>
              <w:t xml:space="preserve">  </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771F5B" w:rsidRDefault="00780331" w:rsidP="003249CF">
            <w:pPr>
              <w:rPr>
                <w:sz w:val="18"/>
                <w:szCs w:val="18"/>
              </w:rPr>
            </w:pPr>
            <w:r w:rsidRPr="00771F5B">
              <w:rPr>
                <w:sz w:val="18"/>
                <w:szCs w:val="18"/>
              </w:rPr>
              <w:t>The DOC CIO uses the DOC IT dashboard assessment and focuses on any Program that is Red or Yellow.  The DOC CIO meets with the CIO IT Dashboard team and directs follow-up to be taken including requiring the OCIO and program teams to prepare and monitor a corrective action plan.  Going forward, the CIO will conduct program reviews of all Red and Yellow Program teams, and will require the development and monitoring of corrective action plans.</w:t>
            </w:r>
          </w:p>
          <w:p w:rsidR="00780331" w:rsidRPr="00771F5B" w:rsidRDefault="00780331" w:rsidP="003249CF">
            <w:pPr>
              <w:rPr>
                <w:sz w:val="18"/>
                <w:szCs w:val="18"/>
              </w:rPr>
            </w:pPr>
            <w:r w:rsidRPr="00771F5B">
              <w:rPr>
                <w:sz w:val="18"/>
                <w:szCs w:val="18"/>
              </w:rPr>
              <w:t>In addition, the DOC will document a formal process or policy that explicitly identifies the CIO's role in verifying and confirming on a regular basis that non-major legacy and on-going investments are meeting program and agency strategic objectives. This process will be developed in coordination with the Department Budget and Acquisition offices and the offices of each bureau CIO.</w:t>
            </w:r>
          </w:p>
          <w:p w:rsidR="00780331" w:rsidRPr="00771F5B" w:rsidRDefault="00780331" w:rsidP="00C15ECA">
            <w:pPr>
              <w:rPr>
                <w:sz w:val="18"/>
                <w:szCs w:val="18"/>
              </w:rPr>
            </w:pPr>
            <w:r w:rsidRPr="00771F5B">
              <w:rPr>
                <w:sz w:val="18"/>
                <w:szCs w:val="18"/>
              </w:rPr>
              <w:t xml:space="preserve">We expect to see the process implemented in </w:t>
            </w:r>
            <w:proofErr w:type="spellStart"/>
            <w:r w:rsidRPr="00771F5B">
              <w:rPr>
                <w:sz w:val="18"/>
                <w:szCs w:val="18"/>
              </w:rPr>
              <w:t>Techstat</w:t>
            </w:r>
            <w:proofErr w:type="spellEnd"/>
            <w:r w:rsidRPr="00771F5B">
              <w:rPr>
                <w:sz w:val="18"/>
                <w:szCs w:val="18"/>
              </w:rPr>
              <w:t xml:space="preserve"> and </w:t>
            </w:r>
            <w:proofErr w:type="spellStart"/>
            <w:r w:rsidRPr="00771F5B">
              <w:rPr>
                <w:sz w:val="18"/>
                <w:szCs w:val="18"/>
              </w:rPr>
              <w:t>PortfolioStat</w:t>
            </w:r>
            <w:proofErr w:type="spellEnd"/>
            <w:r w:rsidRPr="00771F5B">
              <w:rPr>
                <w:sz w:val="18"/>
                <w:szCs w:val="18"/>
              </w:rPr>
              <w:t xml:space="preserve"> reviews by April 30</w:t>
            </w:r>
            <w:r w:rsidRPr="00771F5B">
              <w:rPr>
                <w:sz w:val="18"/>
                <w:szCs w:val="18"/>
                <w:vertAlign w:val="superscript"/>
              </w:rPr>
              <w:t>th</w:t>
            </w:r>
            <w:r w:rsidRPr="00771F5B">
              <w:rPr>
                <w:sz w:val="18"/>
                <w:szCs w:val="18"/>
              </w:rPr>
              <w:t xml:space="preserve"> 2016. </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771F5B" w:rsidRDefault="00780331" w:rsidP="003249CF">
            <w:pPr>
              <w:rPr>
                <w:sz w:val="18"/>
                <w:szCs w:val="18"/>
              </w:rPr>
            </w:pPr>
            <w:r w:rsidRPr="00771F5B">
              <w:rPr>
                <w:sz w:val="18"/>
                <w:szCs w:val="18"/>
              </w:rPr>
              <w:t> </w:t>
            </w:r>
          </w:p>
        </w:tc>
      </w:tr>
      <w:tr w:rsidR="00780331" w:rsidRPr="001911E5" w:rsidTr="004F2DDA">
        <w:trPr>
          <w:cantSplit/>
          <w:trHeight w:val="1152"/>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F</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IT Expenditures reporting to CIO</w:t>
            </w:r>
          </w:p>
          <w:p w:rsidR="00780331" w:rsidRPr="00BA5D02" w:rsidRDefault="00780331" w:rsidP="00C15ECA">
            <w:pPr>
              <w:rPr>
                <w:b/>
                <w:sz w:val="18"/>
                <w:szCs w:val="18"/>
              </w:rPr>
            </w:pPr>
            <w:r w:rsidRPr="00BA5D02">
              <w:rPr>
                <w:sz w:val="18"/>
                <w:szCs w:val="18"/>
              </w:rPr>
              <w:t>DOC is in partial compliance with the requirement of this element.  The DOC CIO with the consent of the agency CIOs and CFOs determines which IT investments are deemed major or non-major.  Major IT investments must provide current, detailed reporting on cost, schedule and performance to the Department CIO every month using the Business Case Detail format (formerly the Exhibit 300B) as well as additional supporting documentation specified by the Department, notably a quad chart.  Reporting requirements for non-major investments are delegated to the operating unit CIOs who often have similar reporting requirements.  In addition, any proposed major IT acquisitions need to include budget information which must be reviewed by either the Commerce IT Review Board or Milestone Review Board both of which include the CIO, CAO and CFO as board members.  In order for a major IT acquisition to go forward it must receive IT Investment Authority (ITIA) from the CIO which specifies a funding limit within a specific time period.</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spacing w:after="0" w:line="240" w:lineRule="auto"/>
              <w:rPr>
                <w:sz w:val="18"/>
                <w:szCs w:val="18"/>
              </w:rPr>
            </w:pPr>
            <w:r w:rsidRPr="00BA5D02">
              <w:rPr>
                <w:sz w:val="18"/>
                <w:szCs w:val="18"/>
              </w:rPr>
              <w:t xml:space="preserve">DOC explicitly requires CIO approval for all IT acquisitions with the Department CIO delegating to and giving discretion to Bureau CIOs as to the dollar or other limit is the basis for requiring the CIOs signature.  </w:t>
            </w:r>
          </w:p>
          <w:p w:rsidR="00780331" w:rsidRPr="00BA5D02" w:rsidRDefault="00780331" w:rsidP="003249CF">
            <w:pPr>
              <w:spacing w:after="0" w:line="240" w:lineRule="auto"/>
              <w:rPr>
                <w:sz w:val="18"/>
                <w:szCs w:val="18"/>
              </w:rPr>
            </w:pPr>
          </w:p>
          <w:p w:rsidR="00780331" w:rsidRPr="00BA5D02" w:rsidRDefault="00780331" w:rsidP="003249CF">
            <w:pPr>
              <w:spacing w:after="0" w:line="240" w:lineRule="auto"/>
              <w:rPr>
                <w:sz w:val="18"/>
                <w:szCs w:val="18"/>
              </w:rPr>
            </w:pPr>
            <w:r w:rsidRPr="00BA5D02">
              <w:rPr>
                <w:sz w:val="18"/>
                <w:szCs w:val="18"/>
              </w:rPr>
              <w:t>The DOC CIO will work with the CFO and CAO to add a DOC CIO signature block to the acquisition plan approval page by December 31</w:t>
            </w:r>
            <w:r w:rsidRPr="00BA5D02">
              <w:rPr>
                <w:sz w:val="18"/>
                <w:szCs w:val="18"/>
                <w:vertAlign w:val="superscript"/>
              </w:rPr>
              <w:t>st</w:t>
            </w:r>
            <w:r w:rsidRPr="00BA5D02">
              <w:rPr>
                <w:sz w:val="18"/>
                <w:szCs w:val="18"/>
              </w:rPr>
              <w:t xml:space="preserve"> 2015.  The CIO’s signature will indicate that the CIO has approved the expenditure of funds for the investment.</w:t>
            </w:r>
          </w:p>
          <w:p w:rsidR="00780331" w:rsidRPr="00BA5D02" w:rsidRDefault="00780331" w:rsidP="003249CF">
            <w:pPr>
              <w:spacing w:after="0" w:line="240" w:lineRule="auto"/>
              <w:rPr>
                <w:sz w:val="18"/>
                <w:szCs w:val="18"/>
              </w:rPr>
            </w:pPr>
          </w:p>
          <w:p w:rsidR="00780331" w:rsidRPr="00BA5D02" w:rsidRDefault="00780331" w:rsidP="003249CF">
            <w:pPr>
              <w:spacing w:after="0" w:line="240" w:lineRule="auto"/>
              <w:rPr>
                <w:sz w:val="18"/>
                <w:szCs w:val="18"/>
              </w:rPr>
            </w:pPr>
            <w:r w:rsidRPr="00BA5D02">
              <w:rPr>
                <w:sz w:val="18"/>
                <w:szCs w:val="18"/>
              </w:rPr>
              <w:t>The DOC CIO will develop a draft formal process on when that authority is delegated to Bureau CIOs by December 15</w:t>
            </w:r>
            <w:r w:rsidRPr="00BA5D02">
              <w:rPr>
                <w:sz w:val="18"/>
                <w:szCs w:val="18"/>
                <w:vertAlign w:val="superscript"/>
              </w:rPr>
              <w:t>th</w:t>
            </w:r>
            <w:r w:rsidRPr="00BA5D02">
              <w:rPr>
                <w:sz w:val="18"/>
                <w:szCs w:val="18"/>
              </w:rPr>
              <w:t xml:space="preserve"> 2015 and that process will be reviewed and coordinated with the DOC CIO Council and completed by April 15</w:t>
            </w:r>
            <w:r w:rsidRPr="00BA5D02">
              <w:rPr>
                <w:sz w:val="18"/>
                <w:szCs w:val="18"/>
                <w:vertAlign w:val="superscript"/>
              </w:rPr>
              <w:t>th</w:t>
            </w:r>
            <w:r w:rsidRPr="00BA5D02">
              <w:rPr>
                <w:sz w:val="18"/>
                <w:szCs w:val="18"/>
              </w:rPr>
              <w:t xml:space="preserve"> 2016.</w:t>
            </w:r>
          </w:p>
          <w:p w:rsidR="00780331" w:rsidRPr="00BA5D02" w:rsidRDefault="00780331" w:rsidP="003249CF">
            <w:pPr>
              <w:spacing w:after="0" w:line="240" w:lineRule="auto"/>
              <w:rPr>
                <w:sz w:val="18"/>
                <w:szCs w:val="18"/>
              </w:rPr>
            </w:pPr>
          </w:p>
          <w:p w:rsidR="00780331" w:rsidRPr="00BA5D02" w:rsidRDefault="00780331" w:rsidP="00A7455E">
            <w:pPr>
              <w:spacing w:after="0" w:line="240" w:lineRule="auto"/>
              <w:rPr>
                <w:sz w:val="18"/>
                <w:szCs w:val="18"/>
              </w:rPr>
            </w:pPr>
            <w:r w:rsidRPr="00BA5D02">
              <w:rPr>
                <w:sz w:val="18"/>
                <w:szCs w:val="18"/>
              </w:rPr>
              <w:t>Evidence of this will be provided by December 31</w:t>
            </w:r>
            <w:r w:rsidRPr="00BA5D02">
              <w:rPr>
                <w:sz w:val="18"/>
                <w:szCs w:val="18"/>
                <w:vertAlign w:val="superscript"/>
              </w:rPr>
              <w:t>st</w:t>
            </w:r>
            <w:r w:rsidRPr="00BA5D02">
              <w:rPr>
                <w:sz w:val="18"/>
                <w:szCs w:val="18"/>
              </w:rPr>
              <w:t xml:space="preserve"> 2015</w:t>
            </w:r>
            <w:r w:rsidR="00A7455E">
              <w:rPr>
                <w:sz w:val="18"/>
                <w:szCs w:val="18"/>
              </w:rPr>
              <w:t>.</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 </w:t>
            </w:r>
          </w:p>
        </w:tc>
      </w:tr>
      <w:tr w:rsidR="00780331" w:rsidRPr="001911E5" w:rsidTr="004F2DDA">
        <w:trPr>
          <w:cantSplit/>
          <w:trHeight w:val="1152"/>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G</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5F05A0" w:rsidP="003249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CIO defines IT process &amp; policies</w:t>
            </w:r>
          </w:p>
          <w:p w:rsidR="00780331" w:rsidRPr="00BA5D02" w:rsidRDefault="005F05A0" w:rsidP="005F05A0">
            <w:pPr>
              <w:rPr>
                <w:sz w:val="18"/>
                <w:szCs w:val="18"/>
              </w:rPr>
            </w:pPr>
            <w:r>
              <w:rPr>
                <w:sz w:val="18"/>
                <w:szCs w:val="18"/>
              </w:rPr>
              <w:t xml:space="preserve">While there are policies to show that </w:t>
            </w:r>
            <w:r w:rsidR="00780331" w:rsidRPr="00BA5D02">
              <w:rPr>
                <w:sz w:val="18"/>
                <w:szCs w:val="18"/>
              </w:rPr>
              <w:t>DOC is in full compliance with the requirement of this element</w:t>
            </w:r>
            <w:r>
              <w:rPr>
                <w:sz w:val="18"/>
                <w:szCs w:val="18"/>
              </w:rPr>
              <w:t xml:space="preserve">, and </w:t>
            </w:r>
            <w:r w:rsidR="00780331" w:rsidRPr="00BA5D02">
              <w:rPr>
                <w:sz w:val="18"/>
                <w:szCs w:val="18"/>
              </w:rPr>
              <w:t>DOC has provided high level IT policies pertaining to all capital planning, enterprise architect, and project management and reporting</w:t>
            </w:r>
            <w:r>
              <w:rPr>
                <w:sz w:val="18"/>
                <w:szCs w:val="18"/>
              </w:rPr>
              <w:t>, we need to reconcile these with Operating Administration policies and processes</w:t>
            </w:r>
            <w:r w:rsidR="00780331" w:rsidRPr="00BA5D02">
              <w:rPr>
                <w:sz w:val="18"/>
                <w:szCs w:val="18"/>
              </w:rPr>
              <w:t>.</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Default="005F05A0" w:rsidP="003249CF">
            <w:pPr>
              <w:rPr>
                <w:sz w:val="18"/>
                <w:szCs w:val="18"/>
              </w:rPr>
            </w:pPr>
            <w:r>
              <w:rPr>
                <w:sz w:val="18"/>
                <w:szCs w:val="18"/>
              </w:rPr>
              <w:t>The CIO has announced that there will be a review of all DOC and Operating Administration policies and processes to bring them into compliance with FITARA both in policy and process and in action.  This will begin in January and should be completed by May 2016.</w:t>
            </w:r>
          </w:p>
          <w:p w:rsidR="005F05A0" w:rsidRDefault="005F05A0" w:rsidP="003249CF">
            <w:pPr>
              <w:rPr>
                <w:sz w:val="18"/>
                <w:szCs w:val="18"/>
              </w:rPr>
            </w:pPr>
          </w:p>
          <w:p w:rsidR="005F05A0" w:rsidRPr="00BA5D02" w:rsidRDefault="005F05A0" w:rsidP="005F05A0">
            <w:pPr>
              <w:rPr>
                <w:sz w:val="18"/>
                <w:szCs w:val="18"/>
              </w:rPr>
            </w:pPr>
            <w:r w:rsidRPr="00BA5D02">
              <w:rPr>
                <w:sz w:val="18"/>
                <w:szCs w:val="18"/>
              </w:rPr>
              <w:t>Evidence of th</w:t>
            </w:r>
            <w:r>
              <w:rPr>
                <w:sz w:val="18"/>
                <w:szCs w:val="18"/>
              </w:rPr>
              <w:t xml:space="preserve">e DOC policies </w:t>
            </w:r>
            <w:r w:rsidRPr="00BA5D02">
              <w:rPr>
                <w:sz w:val="18"/>
                <w:szCs w:val="18"/>
              </w:rPr>
              <w:t xml:space="preserve">is documented on the DOC website at </w:t>
            </w:r>
            <w:hyperlink r:id="rId10" w:history="1">
              <w:r w:rsidRPr="00BA5D02">
                <w:rPr>
                  <w:color w:val="0000FF"/>
                  <w:sz w:val="18"/>
                  <w:szCs w:val="18"/>
                  <w:u w:val="single"/>
                </w:rPr>
                <w:t>http://www.commerce.gov/digitalstrategy/policyarchive</w:t>
              </w:r>
            </w:hyperlink>
            <w:r w:rsidRPr="00BA5D02">
              <w:rPr>
                <w:sz w:val="18"/>
                <w:szCs w:val="18"/>
              </w:rPr>
              <w:t xml:space="preserve">  </w:t>
            </w:r>
          </w:p>
          <w:p w:rsidR="005F05A0" w:rsidRPr="00BA5D02" w:rsidRDefault="005F05A0" w:rsidP="003249CF">
            <w:pPr>
              <w:rPr>
                <w:sz w:val="18"/>
                <w:szCs w:val="18"/>
              </w:rPr>
            </w:pP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p>
          <w:p w:rsidR="00780331" w:rsidRPr="00BA5D02" w:rsidRDefault="00780331" w:rsidP="003249CF">
            <w:pPr>
              <w:rPr>
                <w:sz w:val="18"/>
                <w:szCs w:val="18"/>
              </w:rPr>
            </w:pPr>
          </w:p>
          <w:p w:rsidR="00780331" w:rsidRPr="00BA5D02" w:rsidRDefault="00780331" w:rsidP="003A590C">
            <w:pPr>
              <w:rPr>
                <w:sz w:val="18"/>
                <w:szCs w:val="18"/>
              </w:rPr>
            </w:pPr>
          </w:p>
        </w:tc>
      </w:tr>
      <w:tr w:rsidR="00780331" w:rsidRPr="001911E5" w:rsidTr="004F2DDA">
        <w:trPr>
          <w:cantSplit/>
          <w:trHeight w:val="3235"/>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t>H</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sidRPr="00380F92">
              <w:rPr>
                <w:rFonts w:ascii="Times New Roman" w:eastAsia="Times New Roman" w:hAnsi="Times New Roman" w:cs="Times New Roman"/>
                <w:b/>
                <w:bCs/>
                <w:color w:val="000000"/>
                <w:sz w:val="96"/>
                <w:szCs w:val="96"/>
              </w:rPr>
              <w:t>3</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CIO on program governance boards</w:t>
            </w:r>
          </w:p>
          <w:p w:rsidR="00780331" w:rsidRPr="00BA5D02" w:rsidRDefault="00780331" w:rsidP="003249CF">
            <w:pPr>
              <w:pStyle w:val="CommentText"/>
              <w:rPr>
                <w:sz w:val="18"/>
                <w:szCs w:val="18"/>
              </w:rPr>
            </w:pPr>
            <w:r w:rsidRPr="00BA5D02">
              <w:rPr>
                <w:sz w:val="18"/>
                <w:szCs w:val="18"/>
              </w:rPr>
              <w:t>DOC is in full compliance with the requirement of this element.  The DOC CIO and CFO are full and active member of the Commerce IT Review Board (CITRB) and the Milestone Review Board (MRB), both of which are DOC program governance boards. Based on the current Acquisition Review Board (ARB) policy, the DOC CIO is not a member of the Acquisition Review Board.  However, if the acquisition includes information technology, the ARB and CITRB are co-convened in a joint meeting.  During the joint meeting Acquisition Plans are reviewed, acquisition strategies discussed, statement of works discussed, contract types discussed and approvals/non-approvals are indicated.  DOC CIO approval is required via IT Investment Authority (ITIA) in order for the acquisition to proceed.</w:t>
            </w:r>
          </w:p>
          <w:p w:rsidR="00780331" w:rsidRPr="00BA5D02" w:rsidRDefault="00780331" w:rsidP="003249CF">
            <w:pPr>
              <w:rPr>
                <w:sz w:val="18"/>
                <w:szCs w:val="18"/>
              </w:rPr>
            </w:pP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rFonts w:ascii="Arial" w:hAnsi="Arial"/>
                <w:color w:val="0F243E"/>
                <w:sz w:val="18"/>
                <w:szCs w:val="18"/>
              </w:rPr>
            </w:pPr>
            <w:r w:rsidRPr="00BA5D02">
              <w:rPr>
                <w:sz w:val="18"/>
                <w:szCs w:val="18"/>
              </w:rPr>
              <w:t xml:space="preserve">Evidence of the element is documented on the DOC website at  </w:t>
            </w:r>
            <w:hyperlink r:id="rId11" w:history="1">
              <w:r w:rsidRPr="00BA5D02">
                <w:rPr>
                  <w:rStyle w:val="Hyperlink"/>
                  <w:sz w:val="18"/>
                  <w:szCs w:val="18"/>
                </w:rPr>
                <w:t>http://www.commerce.gov/digitalstrategy/governanceboards.html</w:t>
              </w:r>
            </w:hyperlink>
          </w:p>
          <w:p w:rsidR="00780331" w:rsidRPr="00BA5D02" w:rsidRDefault="00780331" w:rsidP="003249CF">
            <w:pPr>
              <w:rPr>
                <w:sz w:val="18"/>
                <w:szCs w:val="18"/>
              </w:rPr>
            </w:pPr>
          </w:p>
          <w:p w:rsidR="00780331" w:rsidRPr="00BA5D02" w:rsidRDefault="00780331" w:rsidP="003249CF">
            <w:pPr>
              <w:rPr>
                <w:rStyle w:val="Hyperlink"/>
                <w:sz w:val="18"/>
                <w:szCs w:val="18"/>
              </w:rPr>
            </w:pPr>
            <w:r w:rsidRPr="00BA5D02">
              <w:rPr>
                <w:sz w:val="18"/>
                <w:szCs w:val="18"/>
              </w:rPr>
              <w:t>DOC has developed a FITARA OMB Max page listing all artifacts and resources as required by FITARA. (</w:t>
            </w:r>
            <w:hyperlink r:id="rId12" w:history="1">
              <w:r w:rsidRPr="00BA5D02">
                <w:rPr>
                  <w:rStyle w:val="Hyperlink"/>
                  <w:i/>
                  <w:sz w:val="18"/>
                  <w:szCs w:val="18"/>
                </w:rPr>
                <w:t>https://community.max.gov/x/3ACgO</w:t>
              </w:r>
            </w:hyperlink>
            <w:r w:rsidRPr="00BA5D02">
              <w:rPr>
                <w:rStyle w:val="Hyperlink"/>
                <w:sz w:val="18"/>
                <w:szCs w:val="18"/>
              </w:rPr>
              <w:t>)</w:t>
            </w:r>
          </w:p>
          <w:p w:rsidR="00780331" w:rsidRPr="00BA5D02" w:rsidRDefault="00780331" w:rsidP="00A37219">
            <w:pPr>
              <w:pStyle w:val="ListParagraph"/>
              <w:rPr>
                <w:sz w:val="18"/>
                <w:szCs w:val="18"/>
              </w:rPr>
            </w:pPr>
          </w:p>
          <w:p w:rsidR="00780331" w:rsidRPr="00BA5D02" w:rsidRDefault="00780331" w:rsidP="007A4B7D">
            <w:pPr>
              <w:pStyle w:val="ListParagraph"/>
              <w:numPr>
                <w:ilvl w:val="0"/>
                <w:numId w:val="5"/>
              </w:numPr>
              <w:rPr>
                <w:sz w:val="18"/>
                <w:szCs w:val="18"/>
              </w:rPr>
            </w:pPr>
            <w:r w:rsidRPr="00BA5D02">
              <w:rPr>
                <w:sz w:val="18"/>
                <w:szCs w:val="18"/>
              </w:rPr>
              <w:t>Milestone Review Board policy memo</w:t>
            </w:r>
          </w:p>
          <w:p w:rsidR="00780331" w:rsidRPr="00BA5D02" w:rsidRDefault="00780331" w:rsidP="007A4B7D">
            <w:pPr>
              <w:pStyle w:val="ListParagraph"/>
              <w:numPr>
                <w:ilvl w:val="0"/>
                <w:numId w:val="5"/>
              </w:numPr>
              <w:rPr>
                <w:sz w:val="18"/>
                <w:szCs w:val="18"/>
              </w:rPr>
            </w:pPr>
            <w:r w:rsidRPr="00BA5D02">
              <w:rPr>
                <w:sz w:val="18"/>
                <w:szCs w:val="18"/>
              </w:rPr>
              <w:t>CITRB Charter</w:t>
            </w:r>
          </w:p>
          <w:p w:rsidR="00780331" w:rsidRPr="00BA5D02" w:rsidRDefault="00780331" w:rsidP="003249CF">
            <w:pPr>
              <w:rPr>
                <w:sz w:val="18"/>
                <w:szCs w:val="18"/>
              </w:rPr>
            </w:pPr>
          </w:p>
        </w:tc>
      </w:tr>
      <w:tr w:rsidR="00780331" w:rsidRPr="00E97ADF" w:rsidTr="004F2DDA">
        <w:trPr>
          <w:cantSplit/>
          <w:trHeight w:val="1152"/>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I</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sidRPr="00380F92">
              <w:rPr>
                <w:rFonts w:ascii="Times New Roman" w:eastAsia="Times New Roman" w:hAnsi="Times New Roman" w:cs="Times New Roman"/>
                <w:b/>
                <w:bCs/>
                <w:color w:val="000000"/>
                <w:sz w:val="96"/>
                <w:szCs w:val="96"/>
              </w:rPr>
              <w:t>3</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Shared acquisition and procurement responsibilities</w:t>
            </w:r>
          </w:p>
          <w:p w:rsidR="00780331" w:rsidRPr="00BA5D02" w:rsidRDefault="00780331" w:rsidP="00C15ECA">
            <w:pPr>
              <w:rPr>
                <w:sz w:val="18"/>
                <w:szCs w:val="18"/>
              </w:rPr>
            </w:pPr>
            <w:r w:rsidRPr="00BA5D02">
              <w:rPr>
                <w:sz w:val="18"/>
                <w:szCs w:val="18"/>
              </w:rPr>
              <w:t>DOC is in full compliance with the requirement of this element.  The Commerce IT Review Board (CITRB) is the comprehensive Board that reviews IT cost estimates and reviews investments for alignment with Federal mandates and requirements including agile development– incremental developmental principles.</w:t>
            </w:r>
            <w:r w:rsidRPr="00BA5D02">
              <w:rPr>
                <w:rFonts w:ascii="Times New Roman" w:eastAsia="Times New Roman" w:hAnsi="Times New Roman" w:cs="Times New Roman"/>
                <w:bCs/>
                <w:color w:val="000000"/>
                <w:sz w:val="18"/>
                <w:szCs w:val="18"/>
              </w:rPr>
              <w:t xml:space="preserve">   </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 </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DOC has developed a FITARA OMB Max page listing all artifacts and resources as required by FITARA. (</w:t>
            </w:r>
            <w:hyperlink r:id="rId13" w:history="1">
              <w:r w:rsidRPr="00BA5D02">
                <w:rPr>
                  <w:rStyle w:val="Hyperlink"/>
                  <w:i/>
                  <w:sz w:val="18"/>
                  <w:szCs w:val="18"/>
                </w:rPr>
                <w:t>https://community.max.gov/x/3ACgO</w:t>
              </w:r>
            </w:hyperlink>
            <w:r w:rsidRPr="00BA5D02">
              <w:rPr>
                <w:rStyle w:val="Hyperlink"/>
                <w:sz w:val="18"/>
                <w:szCs w:val="18"/>
              </w:rPr>
              <w:t>)</w:t>
            </w:r>
          </w:p>
          <w:p w:rsidR="00780331" w:rsidRPr="00BA5D02" w:rsidRDefault="00780331" w:rsidP="007A4B7D">
            <w:pPr>
              <w:pStyle w:val="ListParagraph"/>
              <w:numPr>
                <w:ilvl w:val="0"/>
                <w:numId w:val="6"/>
              </w:numPr>
              <w:rPr>
                <w:sz w:val="18"/>
                <w:szCs w:val="18"/>
              </w:rPr>
            </w:pPr>
            <w:r w:rsidRPr="00BA5D02">
              <w:rPr>
                <w:sz w:val="18"/>
                <w:szCs w:val="18"/>
              </w:rPr>
              <w:t>CITRB Charter</w:t>
            </w:r>
          </w:p>
          <w:p w:rsidR="00780331" w:rsidRPr="00BA5D02" w:rsidRDefault="00780331" w:rsidP="007A4B7D">
            <w:pPr>
              <w:pStyle w:val="ListParagraph"/>
              <w:numPr>
                <w:ilvl w:val="0"/>
                <w:numId w:val="6"/>
              </w:numPr>
              <w:rPr>
                <w:sz w:val="18"/>
                <w:szCs w:val="18"/>
              </w:rPr>
            </w:pPr>
            <w:r w:rsidRPr="00BA5D02">
              <w:rPr>
                <w:sz w:val="18"/>
                <w:szCs w:val="18"/>
              </w:rPr>
              <w:t>Department Administrative Order (DAO) 208-15, Acquisition Project Management</w:t>
            </w:r>
          </w:p>
          <w:p w:rsidR="00780331" w:rsidRPr="00BA5D02" w:rsidRDefault="00780331" w:rsidP="007A4B7D">
            <w:pPr>
              <w:pStyle w:val="ListParagraph"/>
              <w:numPr>
                <w:ilvl w:val="0"/>
                <w:numId w:val="6"/>
              </w:numPr>
              <w:rPr>
                <w:sz w:val="18"/>
                <w:szCs w:val="18"/>
              </w:rPr>
            </w:pPr>
            <w:r w:rsidRPr="00BA5D02">
              <w:rPr>
                <w:sz w:val="18"/>
                <w:szCs w:val="18"/>
              </w:rPr>
              <w:t xml:space="preserve">Commerce Acquisition Manual (CAM) 1307.1, Acquisition Planning.  </w:t>
            </w:r>
          </w:p>
        </w:tc>
      </w:tr>
      <w:tr w:rsidR="00780331" w:rsidRPr="001911E5" w:rsidTr="004F2DDA">
        <w:trPr>
          <w:cantSplit/>
          <w:trHeight w:val="1152"/>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t>J</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sidRPr="00380F92">
              <w:rPr>
                <w:rFonts w:ascii="Times New Roman" w:eastAsia="Times New Roman" w:hAnsi="Times New Roman" w:cs="Times New Roman"/>
                <w:b/>
                <w:bCs/>
                <w:color w:val="000000"/>
                <w:sz w:val="96"/>
                <w:szCs w:val="96"/>
              </w:rPr>
              <w:t>3</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CIO role in modification, termination or pause of IT projects</w:t>
            </w:r>
          </w:p>
          <w:p w:rsidR="00780331" w:rsidRPr="00BA5D02" w:rsidRDefault="00780331" w:rsidP="003249CF">
            <w:pPr>
              <w:rPr>
                <w:sz w:val="18"/>
                <w:szCs w:val="18"/>
              </w:rPr>
            </w:pPr>
            <w:r w:rsidRPr="00BA5D02">
              <w:rPr>
                <w:sz w:val="18"/>
                <w:szCs w:val="18"/>
              </w:rPr>
              <w:t xml:space="preserve">DOC is in full compliance with the requirement of this element.  The DOC CIO chairs the Commerce IT Review Board (CITRB). The CITRB is a comprehensive governance board that provides for coordinated risk management, review, and advice to the Secretary, provides recommendations for approval or disapproval of funding for new or base investments as well as recommendations for continuation or termination of projects under development at key milestones or when they fail to meet performance, cost, or schedule criteria. The Board also recommends approval or disapproval of requests to enter into new contracts – approval is called “IT Investment Authority (ITIA)”.  </w:t>
            </w:r>
          </w:p>
          <w:p w:rsidR="00780331" w:rsidRPr="00BA5D02" w:rsidRDefault="00780331" w:rsidP="003249CF">
            <w:pPr>
              <w:rPr>
                <w:sz w:val="18"/>
                <w:szCs w:val="18"/>
              </w:rPr>
            </w:pPr>
            <w:r w:rsidRPr="00BA5D02">
              <w:rPr>
                <w:sz w:val="18"/>
                <w:szCs w:val="18"/>
              </w:rPr>
              <w:t>The DOC CIO also reviews IT programs or projects in addition to those that present to the CITRB.</w:t>
            </w:r>
          </w:p>
          <w:p w:rsidR="00780331" w:rsidRPr="00BA5D02" w:rsidRDefault="00780331" w:rsidP="003249CF">
            <w:pPr>
              <w:rPr>
                <w:sz w:val="18"/>
                <w:szCs w:val="18"/>
              </w:rPr>
            </w:pPr>
            <w:r w:rsidRPr="00BA5D02">
              <w:rPr>
                <w:sz w:val="18"/>
                <w:szCs w:val="18"/>
              </w:rPr>
              <w:t xml:space="preserve">The CITRB had a very active </w:t>
            </w:r>
            <w:proofErr w:type="spellStart"/>
            <w:r w:rsidRPr="00BA5D02">
              <w:rPr>
                <w:sz w:val="18"/>
                <w:szCs w:val="18"/>
              </w:rPr>
              <w:t>TechStat</w:t>
            </w:r>
            <w:proofErr w:type="spellEnd"/>
            <w:r w:rsidRPr="00BA5D02">
              <w:rPr>
                <w:sz w:val="18"/>
                <w:szCs w:val="18"/>
              </w:rPr>
              <w:t xml:space="preserve"> calendar and will begin performing </w:t>
            </w:r>
            <w:proofErr w:type="spellStart"/>
            <w:r w:rsidRPr="00BA5D02">
              <w:rPr>
                <w:sz w:val="18"/>
                <w:szCs w:val="18"/>
              </w:rPr>
              <w:t>TechStat</w:t>
            </w:r>
            <w:proofErr w:type="spellEnd"/>
            <w:r w:rsidRPr="00BA5D02">
              <w:rPr>
                <w:sz w:val="18"/>
                <w:szCs w:val="18"/>
              </w:rPr>
              <w:t xml:space="preserve"> reviews (as required) in the FY16 first quarter.</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The DOC OCIO will provide documented criteria and the process used to review non-CITRB projects by December 31</w:t>
            </w:r>
            <w:r w:rsidRPr="00BA5D02">
              <w:rPr>
                <w:sz w:val="18"/>
                <w:szCs w:val="18"/>
                <w:vertAlign w:val="superscript"/>
              </w:rPr>
              <w:t>st</w:t>
            </w:r>
            <w:r w:rsidRPr="00BA5D02">
              <w:rPr>
                <w:sz w:val="18"/>
                <w:szCs w:val="18"/>
              </w:rPr>
              <w:t xml:space="preserve"> 2015.</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DOC has developed a FITARA OMB Max page listing all artifacts and resources as required by FITARA. (</w:t>
            </w:r>
            <w:hyperlink r:id="rId14" w:history="1">
              <w:r w:rsidRPr="00BA5D02">
                <w:rPr>
                  <w:rStyle w:val="Hyperlink"/>
                  <w:i/>
                  <w:sz w:val="18"/>
                  <w:szCs w:val="18"/>
                </w:rPr>
                <w:t>https://community.max.gov/x/3ACgO</w:t>
              </w:r>
            </w:hyperlink>
            <w:r w:rsidRPr="00BA5D02">
              <w:rPr>
                <w:rStyle w:val="Hyperlink"/>
                <w:sz w:val="18"/>
                <w:szCs w:val="18"/>
              </w:rPr>
              <w:t>)</w:t>
            </w:r>
          </w:p>
          <w:p w:rsidR="00780331" w:rsidRPr="00BA5D02" w:rsidRDefault="00780331" w:rsidP="007A4B7D">
            <w:pPr>
              <w:pStyle w:val="ListParagraph"/>
              <w:numPr>
                <w:ilvl w:val="0"/>
                <w:numId w:val="8"/>
              </w:numPr>
              <w:rPr>
                <w:sz w:val="18"/>
                <w:szCs w:val="18"/>
              </w:rPr>
            </w:pPr>
            <w:r w:rsidRPr="00BA5D02">
              <w:rPr>
                <w:sz w:val="18"/>
                <w:szCs w:val="18"/>
              </w:rPr>
              <w:t xml:space="preserve">Commerce IT Review Board Charter </w:t>
            </w:r>
          </w:p>
          <w:p w:rsidR="00780331" w:rsidRPr="00BA5D02" w:rsidRDefault="00780331" w:rsidP="007A4B7D">
            <w:pPr>
              <w:pStyle w:val="ListParagraph"/>
              <w:numPr>
                <w:ilvl w:val="0"/>
                <w:numId w:val="8"/>
              </w:numPr>
              <w:rPr>
                <w:sz w:val="18"/>
                <w:szCs w:val="18"/>
              </w:rPr>
            </w:pPr>
            <w:r w:rsidRPr="00BA5D02">
              <w:rPr>
                <w:sz w:val="18"/>
                <w:szCs w:val="18"/>
              </w:rPr>
              <w:t xml:space="preserve">The DOC </w:t>
            </w:r>
            <w:proofErr w:type="spellStart"/>
            <w:r w:rsidRPr="00BA5D02">
              <w:rPr>
                <w:sz w:val="18"/>
                <w:szCs w:val="18"/>
              </w:rPr>
              <w:t>TechStat</w:t>
            </w:r>
            <w:proofErr w:type="spellEnd"/>
            <w:r w:rsidRPr="00BA5D02">
              <w:rPr>
                <w:sz w:val="18"/>
                <w:szCs w:val="18"/>
              </w:rPr>
              <w:t xml:space="preserve"> Guide</w:t>
            </w:r>
          </w:p>
          <w:p w:rsidR="00780331" w:rsidRPr="00BA5D02" w:rsidRDefault="00780331" w:rsidP="007A4B7D">
            <w:pPr>
              <w:pStyle w:val="ListParagraph"/>
              <w:rPr>
                <w:sz w:val="18"/>
                <w:szCs w:val="18"/>
              </w:rPr>
            </w:pPr>
          </w:p>
        </w:tc>
      </w:tr>
      <w:tr w:rsidR="00780331" w:rsidRPr="001911E5" w:rsidTr="004F2DDA">
        <w:trPr>
          <w:cantSplit/>
          <w:trHeight w:val="1152"/>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K</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CAO is responsible for ensuring contract actions which require IT are consistent with CIO-approved plans and strategies</w:t>
            </w:r>
          </w:p>
          <w:p w:rsidR="00780331" w:rsidRPr="00BA5D02" w:rsidRDefault="00780331" w:rsidP="003249CF">
            <w:pPr>
              <w:pStyle w:val="CommentText"/>
              <w:rPr>
                <w:sz w:val="18"/>
                <w:szCs w:val="18"/>
              </w:rPr>
            </w:pPr>
            <w:r w:rsidRPr="00BA5D02">
              <w:rPr>
                <w:sz w:val="18"/>
                <w:szCs w:val="18"/>
              </w:rPr>
              <w:t>DOC is in partial compliance with the requirement of this element.  The DOC CIO chairs the CITRB and is a member of the Milestone Review Board (MRB) all of which review major IT investments and provides acquisition approvals for IT. The Commerce IT Review Board (CITRB) reviews major IT acquisition ($25M +) that are planning to award an IT contract(s).  DOC CIO approval is provided via IT investment authority (ITIA) in order for the acquisition to proceed. Based on the current Acquisition Review Board (ARB) policy, the DOC CIO is not a member of the Acquisition Review Board (ARB).  However, if the acquisition includes information technology, the ARB and CITRB are co-convened in a joint meeting. During the joint meeting Acquisition Plans are reviewed, acquisition plans discussed, statement of works discussed, contract types discussed and approvals/non-approvals are indicated.  DOC CIO approval is required via IT investment authority (ITIA) in order for the acquisition to proceed.</w:t>
            </w:r>
          </w:p>
          <w:p w:rsidR="00780331" w:rsidRPr="00BA5D02" w:rsidRDefault="00780331" w:rsidP="003249CF">
            <w:pPr>
              <w:rPr>
                <w:sz w:val="18"/>
                <w:szCs w:val="18"/>
              </w:rPr>
            </w:pPr>
            <w:r w:rsidRPr="00BA5D02">
              <w:rPr>
                <w:sz w:val="18"/>
                <w:szCs w:val="18"/>
              </w:rPr>
              <w:t>During all CITRB reviews, the Board reviews alignment with mission and program objectives.</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A8558B">
            <w:pPr>
              <w:spacing w:after="0" w:line="240" w:lineRule="auto"/>
              <w:rPr>
                <w:sz w:val="18"/>
                <w:szCs w:val="18"/>
              </w:rPr>
            </w:pPr>
            <w:r w:rsidRPr="00BA5D02">
              <w:rPr>
                <w:sz w:val="18"/>
                <w:szCs w:val="18"/>
              </w:rPr>
              <w:t>The DOC CIO will work with the DOC CFO and CAO to update the policies to add the DOC CIO as an additional signatory to indicate approval of acquisition plans for IT investments. The CIO’s signature will indicate that the CIO has approved the expenditure of funds for the investment.</w:t>
            </w:r>
          </w:p>
          <w:p w:rsidR="00780331" w:rsidRPr="00BA5D02" w:rsidRDefault="00780331" w:rsidP="003249CF">
            <w:pPr>
              <w:spacing w:after="0" w:line="240" w:lineRule="auto"/>
              <w:rPr>
                <w:sz w:val="18"/>
                <w:szCs w:val="18"/>
              </w:rPr>
            </w:pPr>
          </w:p>
          <w:p w:rsidR="00780331" w:rsidRPr="00BA5D02" w:rsidRDefault="00780331" w:rsidP="003249CF">
            <w:pPr>
              <w:spacing w:after="0" w:line="240" w:lineRule="auto"/>
              <w:rPr>
                <w:sz w:val="18"/>
                <w:szCs w:val="18"/>
              </w:rPr>
            </w:pPr>
          </w:p>
          <w:p w:rsidR="00780331" w:rsidRPr="00BA5D02" w:rsidRDefault="00780331" w:rsidP="00E97ADF">
            <w:pPr>
              <w:rPr>
                <w:sz w:val="18"/>
                <w:szCs w:val="18"/>
              </w:rPr>
            </w:pPr>
            <w:r w:rsidRPr="00BA5D02">
              <w:rPr>
                <w:sz w:val="18"/>
                <w:szCs w:val="18"/>
              </w:rPr>
              <w:t>This action will be completed by December 31</w:t>
            </w:r>
            <w:r w:rsidRPr="00BA5D02">
              <w:rPr>
                <w:sz w:val="18"/>
                <w:szCs w:val="18"/>
                <w:vertAlign w:val="superscript"/>
              </w:rPr>
              <w:t>st</w:t>
            </w:r>
            <w:r w:rsidRPr="00BA5D02">
              <w:rPr>
                <w:sz w:val="18"/>
                <w:szCs w:val="18"/>
              </w:rPr>
              <w:t xml:space="preserve"> 2015.</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p>
        </w:tc>
      </w:tr>
      <w:tr w:rsidR="00780331" w:rsidRPr="001911E5" w:rsidTr="004F2DDA">
        <w:trPr>
          <w:cantSplit/>
          <w:trHeight w:val="1152"/>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t>L</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CIO approval of reprogramming requests</w:t>
            </w:r>
          </w:p>
          <w:p w:rsidR="00780331" w:rsidRPr="00BA5D02" w:rsidRDefault="00780331" w:rsidP="003249CF">
            <w:pPr>
              <w:rPr>
                <w:sz w:val="18"/>
                <w:szCs w:val="18"/>
              </w:rPr>
            </w:pPr>
            <w:r w:rsidRPr="00BA5D02">
              <w:rPr>
                <w:sz w:val="18"/>
                <w:szCs w:val="18"/>
              </w:rPr>
              <w:t>DOC is in partial compliance with the requirement of this element.  The DOC CIO approves reprogramming requests of funds for IT resources, however there is no formal process.</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C15ECA">
            <w:pPr>
              <w:rPr>
                <w:sz w:val="18"/>
                <w:szCs w:val="18"/>
              </w:rPr>
            </w:pPr>
            <w:r w:rsidRPr="00BA5D02">
              <w:rPr>
                <w:sz w:val="18"/>
                <w:szCs w:val="18"/>
              </w:rPr>
              <w:t>The DOC CIO will work with the DOC CFO to develop a policy and formal approval process to show evidence of this requirement.  We expect this to be in draft form ready for review by December 31</w:t>
            </w:r>
            <w:r w:rsidRPr="00BA5D02">
              <w:rPr>
                <w:sz w:val="18"/>
                <w:szCs w:val="18"/>
                <w:vertAlign w:val="superscript"/>
              </w:rPr>
              <w:t>st</w:t>
            </w:r>
            <w:r w:rsidRPr="00BA5D02">
              <w:rPr>
                <w:sz w:val="18"/>
                <w:szCs w:val="18"/>
              </w:rPr>
              <w:t xml:space="preserve"> 2015 and to be completed by April 15</w:t>
            </w:r>
            <w:r w:rsidRPr="00BA5D02">
              <w:rPr>
                <w:sz w:val="18"/>
                <w:szCs w:val="18"/>
                <w:vertAlign w:val="superscript"/>
              </w:rPr>
              <w:t>th</w:t>
            </w:r>
            <w:r w:rsidRPr="00BA5D02">
              <w:rPr>
                <w:sz w:val="18"/>
                <w:szCs w:val="18"/>
              </w:rPr>
              <w:t xml:space="preserve"> 2016.</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 </w:t>
            </w:r>
          </w:p>
        </w:tc>
      </w:tr>
      <w:tr w:rsidR="00780331" w:rsidRPr="001911E5" w:rsidTr="003249CF">
        <w:trPr>
          <w:cantSplit/>
          <w:trHeight w:val="332"/>
        </w:trPr>
        <w:tc>
          <w:tcPr>
            <w:tcW w:w="14873" w:type="dxa"/>
            <w:gridSpan w:val="5"/>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216E7C" w:rsidRDefault="00780331" w:rsidP="003249CF">
            <w:pPr>
              <w:spacing w:after="0" w:line="240" w:lineRule="auto"/>
              <w:rPr>
                <w:rFonts w:eastAsia="Times New Roman" w:cs="Times New Roman"/>
                <w:b/>
                <w:bCs/>
                <w:sz w:val="18"/>
                <w:szCs w:val="18"/>
              </w:rPr>
            </w:pPr>
            <w:r w:rsidRPr="00216E7C">
              <w:rPr>
                <w:rFonts w:eastAsia="Times New Roman" w:cs="Times New Roman"/>
                <w:b/>
                <w:bCs/>
                <w:sz w:val="18"/>
                <w:szCs w:val="18"/>
              </w:rPr>
              <w:t xml:space="preserve">Organization and Workforce.  </w:t>
            </w:r>
            <w:r w:rsidRPr="00216E7C">
              <w:rPr>
                <w:rFonts w:eastAsia="Times New Roman" w:cs="Times New Roman"/>
                <w:bCs/>
                <w:sz w:val="18"/>
                <w:szCs w:val="18"/>
              </w:rPr>
              <w:t>FITARA: “The CIO reports to the agency head (or deputy/COO) and a</w:t>
            </w:r>
            <w:r w:rsidRPr="00216E7C">
              <w:rPr>
                <w:rFonts w:cs="Times New Roman"/>
                <w:sz w:val="18"/>
                <w:szCs w:val="18"/>
              </w:rPr>
              <w:t>ssesses the requirements established for agency personnel regarding knowledge and skill in information resources management and the adequacy of those requirements for facilitating the achievement of the established IRM performance goals; and assesses the extent to which the positions and personnel at the executive and management levels meet those requirements.”</w:t>
            </w:r>
          </w:p>
        </w:tc>
      </w:tr>
      <w:tr w:rsidR="00780331" w:rsidRPr="001911E5" w:rsidTr="004F2DDA">
        <w:trPr>
          <w:cantSplit/>
          <w:trHeight w:val="1440"/>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M</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sidRPr="00C637AA">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CIO approval of new Bureau CIOs</w:t>
            </w:r>
          </w:p>
          <w:p w:rsidR="00780331" w:rsidRPr="00BA5D02" w:rsidRDefault="00780331" w:rsidP="00C15ECA">
            <w:pPr>
              <w:rPr>
                <w:sz w:val="18"/>
                <w:szCs w:val="18"/>
              </w:rPr>
            </w:pPr>
            <w:r w:rsidRPr="00BA5D02">
              <w:rPr>
                <w:sz w:val="18"/>
                <w:szCs w:val="18"/>
              </w:rPr>
              <w:t>DOC is in partial compliance with the requirement of this element.  The DOC CIO plays a part in the hiring of all Bureau CIOs. They are involved in the recruitment process and approve the selection of any new Bureau CIO via a sign off of the recruitment package.</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 xml:space="preserve">The Department has a written Memorandum from the Secretary directing that the CIO approve the advertising of all IT specialists in the Department.  </w:t>
            </w:r>
          </w:p>
          <w:p w:rsidR="00780331" w:rsidRPr="00BA5D02" w:rsidRDefault="00780331" w:rsidP="00C15ECA">
            <w:pPr>
              <w:rPr>
                <w:sz w:val="18"/>
                <w:szCs w:val="18"/>
              </w:rPr>
            </w:pPr>
            <w:r w:rsidRPr="00BA5D02">
              <w:rPr>
                <w:sz w:val="18"/>
                <w:szCs w:val="18"/>
              </w:rPr>
              <w:t>In order to fully comply with this requirement, the DOC CIO will work with the DOC CHCO to implement a formal written process to incorporate the review/approval from the DOC CIO during the hiring for any DOC Bureau CIO.  We expect this process to be incorporated in a draft HR Bulletin by December 31</w:t>
            </w:r>
            <w:r w:rsidRPr="00BA5D02">
              <w:rPr>
                <w:sz w:val="18"/>
                <w:szCs w:val="18"/>
                <w:vertAlign w:val="superscript"/>
              </w:rPr>
              <w:t>st</w:t>
            </w:r>
            <w:r w:rsidRPr="00BA5D02">
              <w:rPr>
                <w:sz w:val="18"/>
                <w:szCs w:val="18"/>
              </w:rPr>
              <w:t xml:space="preserve"> 2015 and to be released as final guidance to all HR officers by April 15</w:t>
            </w:r>
            <w:r w:rsidRPr="00BA5D02">
              <w:rPr>
                <w:sz w:val="18"/>
                <w:szCs w:val="18"/>
                <w:vertAlign w:val="superscript"/>
              </w:rPr>
              <w:t>th</w:t>
            </w:r>
            <w:r w:rsidRPr="00BA5D02">
              <w:rPr>
                <w:sz w:val="18"/>
                <w:szCs w:val="18"/>
              </w:rPr>
              <w:t xml:space="preserve"> 2016.</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 </w:t>
            </w:r>
          </w:p>
        </w:tc>
      </w:tr>
      <w:tr w:rsidR="00780331" w:rsidRPr="001911E5" w:rsidTr="004F2DDA">
        <w:trPr>
          <w:cantSplit/>
          <w:trHeight w:val="1894"/>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t>N</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sidRPr="00380F92">
              <w:rPr>
                <w:rFonts w:ascii="Times New Roman" w:eastAsia="Times New Roman" w:hAnsi="Times New Roman" w:cs="Times New Roman"/>
                <w:b/>
                <w:bCs/>
                <w:color w:val="000000"/>
                <w:sz w:val="96"/>
                <w:szCs w:val="96"/>
              </w:rPr>
              <w:t>3</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CIO role in ongoing bureau CIOs’ evaluations</w:t>
            </w:r>
          </w:p>
          <w:p w:rsidR="00780331" w:rsidRPr="00BA5D02" w:rsidRDefault="00780331" w:rsidP="00C15ECA">
            <w:pPr>
              <w:rPr>
                <w:sz w:val="18"/>
                <w:szCs w:val="18"/>
              </w:rPr>
            </w:pPr>
            <w:r w:rsidRPr="00BA5D02">
              <w:rPr>
                <w:sz w:val="18"/>
                <w:szCs w:val="18"/>
              </w:rPr>
              <w:t xml:space="preserve">DOC is in full compliance with the requirement of this element.  A DOC wide critical element has been made mandatory for all Bureau CIO performance evaluations and must have a weight of 25%. In cases where the Bureau CIO is a member of the Senior Executive Service, the critical element is included in their Executive Performance Plan. </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Evidence of this requirement is in the Critical Element within the CIO’s Performance Plan.</w:t>
            </w:r>
          </w:p>
          <w:p w:rsidR="00780331" w:rsidRPr="00BA5D02" w:rsidRDefault="00780331" w:rsidP="003249CF">
            <w:pPr>
              <w:rPr>
                <w:sz w:val="18"/>
                <w:szCs w:val="18"/>
              </w:rPr>
            </w:pPr>
            <w:r w:rsidRPr="00BA5D02">
              <w:rPr>
                <w:sz w:val="18"/>
                <w:szCs w:val="18"/>
              </w:rPr>
              <w:t>DOC has developed a FITARA OMB Max page listing all artifacts and resources as required by FITARA. (</w:t>
            </w:r>
            <w:hyperlink r:id="rId15" w:history="1">
              <w:r w:rsidRPr="00BA5D02">
                <w:rPr>
                  <w:rStyle w:val="Hyperlink"/>
                  <w:i/>
                  <w:sz w:val="18"/>
                  <w:szCs w:val="18"/>
                </w:rPr>
                <w:t>https://community.max.gov/x/3ACgO</w:t>
              </w:r>
            </w:hyperlink>
            <w:r w:rsidRPr="00BA5D02">
              <w:rPr>
                <w:rStyle w:val="Hyperlink"/>
                <w:sz w:val="18"/>
                <w:szCs w:val="18"/>
              </w:rPr>
              <w:t>)</w:t>
            </w:r>
          </w:p>
          <w:p w:rsidR="00780331" w:rsidRPr="00BA5D02" w:rsidRDefault="00780331" w:rsidP="003249CF">
            <w:pPr>
              <w:rPr>
                <w:sz w:val="18"/>
                <w:szCs w:val="18"/>
              </w:rPr>
            </w:pPr>
          </w:p>
        </w:tc>
      </w:tr>
      <w:tr w:rsidR="00780331" w:rsidRPr="001911E5" w:rsidTr="004F2DDA">
        <w:trPr>
          <w:cantSplit/>
          <w:trHeight w:val="1440"/>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t>O</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sidRPr="00380F92">
              <w:rPr>
                <w:rFonts w:ascii="Times New Roman" w:eastAsia="Times New Roman" w:hAnsi="Times New Roman" w:cs="Times New Roman"/>
                <w:b/>
                <w:bCs/>
                <w:color w:val="000000"/>
                <w:sz w:val="96"/>
                <w:szCs w:val="96"/>
              </w:rPr>
              <w:t>3</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 xml:space="preserve">Bureau IT Leadership Directory </w:t>
            </w:r>
          </w:p>
          <w:p w:rsidR="00780331" w:rsidRPr="00BA5D02" w:rsidRDefault="00780331" w:rsidP="003249CF">
            <w:pPr>
              <w:rPr>
                <w:sz w:val="18"/>
                <w:szCs w:val="18"/>
              </w:rPr>
            </w:pPr>
            <w:r w:rsidRPr="00BA5D02">
              <w:rPr>
                <w:sz w:val="18"/>
                <w:szCs w:val="18"/>
              </w:rPr>
              <w:t>DOC is in full compliance with the requirement of this element.  The Directory indicates the DOC CIO, DOC Deputy CIO and each Bureau CIO.</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 </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 xml:space="preserve">Evidence of this requirement is shown on the DOC digital strategy website. </w:t>
            </w:r>
            <w:r w:rsidRPr="00BA5D02">
              <w:rPr>
                <w:rStyle w:val="Hyperlink"/>
                <w:color w:val="000000" w:themeColor="text1"/>
                <w:sz w:val="18"/>
                <w:szCs w:val="18"/>
              </w:rPr>
              <w:t>(</w:t>
            </w:r>
            <w:hyperlink r:id="rId16" w:history="1">
              <w:r w:rsidRPr="00BA5D02">
                <w:rPr>
                  <w:rStyle w:val="Hyperlink"/>
                  <w:sz w:val="18"/>
                  <w:szCs w:val="18"/>
                </w:rPr>
                <w:t>http://www.commerce.gov/digitalstrategy/bureaudirectory.html</w:t>
              </w:r>
            </w:hyperlink>
            <w:r w:rsidRPr="00BA5D02">
              <w:rPr>
                <w:rStyle w:val="Hyperlink"/>
                <w:color w:val="000000" w:themeColor="text1"/>
                <w:sz w:val="18"/>
                <w:szCs w:val="18"/>
              </w:rPr>
              <w:t xml:space="preserve">).  </w:t>
            </w:r>
          </w:p>
          <w:p w:rsidR="00780331" w:rsidRPr="00BA5D02" w:rsidRDefault="00780331" w:rsidP="003249CF">
            <w:pPr>
              <w:rPr>
                <w:sz w:val="18"/>
                <w:szCs w:val="18"/>
              </w:rPr>
            </w:pPr>
            <w:r w:rsidRPr="00BA5D02">
              <w:rPr>
                <w:sz w:val="18"/>
                <w:szCs w:val="18"/>
              </w:rPr>
              <w:t xml:space="preserve"> DOC has developed a FITARA OMB Max page listing all artifacts and resources as required by FITARA. (</w:t>
            </w:r>
            <w:hyperlink r:id="rId17" w:history="1">
              <w:r w:rsidRPr="00BA5D02">
                <w:rPr>
                  <w:rStyle w:val="Hyperlink"/>
                  <w:i/>
                  <w:sz w:val="18"/>
                  <w:szCs w:val="18"/>
                </w:rPr>
                <w:t>https://community.max.gov/x/3ACgO</w:t>
              </w:r>
            </w:hyperlink>
            <w:r w:rsidRPr="00BA5D02">
              <w:rPr>
                <w:rStyle w:val="Hyperlink"/>
                <w:sz w:val="18"/>
                <w:szCs w:val="18"/>
              </w:rPr>
              <w:t>)</w:t>
            </w:r>
          </w:p>
          <w:p w:rsidR="00780331" w:rsidRPr="00BA5D02" w:rsidRDefault="00780331" w:rsidP="003249CF">
            <w:pPr>
              <w:rPr>
                <w:color w:val="000000" w:themeColor="text1"/>
                <w:sz w:val="18"/>
                <w:szCs w:val="18"/>
                <w:u w:val="single"/>
              </w:rPr>
            </w:pPr>
          </w:p>
        </w:tc>
      </w:tr>
      <w:tr w:rsidR="00780331" w:rsidRPr="001911E5" w:rsidTr="004F2DDA">
        <w:trPr>
          <w:cantSplit/>
          <w:trHeight w:val="1440"/>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lastRenderedPageBreak/>
              <w:t>P</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1911E5" w:rsidRDefault="00780331" w:rsidP="003249CF">
            <w:pPr>
              <w:spacing w:after="0" w:line="240" w:lineRule="auto"/>
              <w:jc w:val="center"/>
              <w:rPr>
                <w:rFonts w:ascii="Times New Roman" w:eastAsia="Times New Roman" w:hAnsi="Times New Roman" w:cs="Times New Roman"/>
                <w:b/>
                <w:bCs/>
                <w:color w:val="000000"/>
                <w:sz w:val="16"/>
                <w:szCs w:val="16"/>
              </w:rPr>
            </w:pPr>
            <w:r w:rsidRPr="00C637AA">
              <w:rPr>
                <w:rFonts w:ascii="Times New Roman" w:eastAsia="Times New Roman" w:hAnsi="Times New Roman" w:cs="Times New Roman"/>
                <w:b/>
                <w:bCs/>
                <w:color w:val="000000"/>
                <w:sz w:val="96"/>
                <w:szCs w:val="96"/>
              </w:rPr>
              <w:t>2</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b/>
                <w:sz w:val="18"/>
                <w:szCs w:val="18"/>
              </w:rPr>
            </w:pPr>
            <w:r w:rsidRPr="00BA5D02">
              <w:rPr>
                <w:b/>
                <w:sz w:val="18"/>
                <w:szCs w:val="18"/>
              </w:rPr>
              <w:t>IT Workforce planning</w:t>
            </w:r>
          </w:p>
          <w:p w:rsidR="00780331" w:rsidRPr="00BA5D02" w:rsidRDefault="00780331" w:rsidP="003249CF">
            <w:pPr>
              <w:rPr>
                <w:sz w:val="18"/>
                <w:szCs w:val="18"/>
              </w:rPr>
            </w:pPr>
            <w:r w:rsidRPr="00BA5D02">
              <w:rPr>
                <w:sz w:val="18"/>
                <w:szCs w:val="18"/>
              </w:rPr>
              <w:t>DOC is not in compliance with the requirement of this element.  DOC has documentation for IT competency requirements but will need to update them accordingly.</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FD3708">
            <w:pPr>
              <w:rPr>
                <w:sz w:val="18"/>
                <w:szCs w:val="18"/>
              </w:rPr>
            </w:pPr>
            <w:r w:rsidRPr="00BA5D02">
              <w:rPr>
                <w:sz w:val="18"/>
                <w:szCs w:val="18"/>
              </w:rPr>
              <w:t xml:space="preserve">The Department has a written Memorandum from the Secretary directing that the CIO approve the advertising of all IT specialists in the Department.  </w:t>
            </w:r>
          </w:p>
          <w:p w:rsidR="00780331" w:rsidRPr="00BA5D02" w:rsidRDefault="00780331" w:rsidP="00E97ADF">
            <w:pPr>
              <w:rPr>
                <w:sz w:val="18"/>
                <w:szCs w:val="18"/>
              </w:rPr>
            </w:pPr>
            <w:r w:rsidRPr="00BA5D02">
              <w:rPr>
                <w:sz w:val="18"/>
                <w:szCs w:val="18"/>
              </w:rPr>
              <w:t>The DOC CIO will work with the DOC CHCO and the Principal Human Resource Managers (PHRMS) to provide draft competency requirements for IT staff and leadership positions by December 31</w:t>
            </w:r>
            <w:r w:rsidRPr="00BA5D02">
              <w:rPr>
                <w:sz w:val="18"/>
                <w:szCs w:val="18"/>
                <w:vertAlign w:val="superscript"/>
              </w:rPr>
              <w:t>st</w:t>
            </w:r>
            <w:r w:rsidRPr="00BA5D02">
              <w:rPr>
                <w:sz w:val="18"/>
                <w:szCs w:val="18"/>
              </w:rPr>
              <w:t xml:space="preserve"> 2015.  A team of HR specialists will also be chartered by December 31</w:t>
            </w:r>
            <w:r w:rsidRPr="00BA5D02">
              <w:rPr>
                <w:sz w:val="18"/>
                <w:szCs w:val="18"/>
                <w:vertAlign w:val="superscript"/>
              </w:rPr>
              <w:t>st</w:t>
            </w:r>
            <w:r w:rsidRPr="00BA5D02">
              <w:rPr>
                <w:sz w:val="18"/>
                <w:szCs w:val="18"/>
              </w:rPr>
              <w:t xml:space="preserve"> 2015 to work with the CIO to review the draft and provide an update by April 30</w:t>
            </w:r>
            <w:r w:rsidRPr="00BA5D02">
              <w:rPr>
                <w:sz w:val="18"/>
                <w:szCs w:val="18"/>
                <w:vertAlign w:val="superscript"/>
              </w:rPr>
              <w:t>th</w:t>
            </w:r>
            <w:r w:rsidRPr="00BA5D02">
              <w:rPr>
                <w:sz w:val="18"/>
                <w:szCs w:val="18"/>
              </w:rPr>
              <w:t xml:space="preserve"> 2016.  </w:t>
            </w: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 </w:t>
            </w:r>
          </w:p>
        </w:tc>
      </w:tr>
      <w:tr w:rsidR="00780331" w:rsidRPr="00E97ADF" w:rsidTr="004F2DDA">
        <w:trPr>
          <w:cantSplit/>
          <w:trHeight w:val="1440"/>
        </w:trPr>
        <w:tc>
          <w:tcPr>
            <w:tcW w:w="45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D2532B" w:rsidRDefault="00780331" w:rsidP="003249CF">
            <w:pPr>
              <w:spacing w:after="0" w:line="240" w:lineRule="auto"/>
              <w:jc w:val="center"/>
              <w:rPr>
                <w:rFonts w:eastAsia="Times New Roman" w:cs="Times New Roman"/>
                <w:b/>
                <w:bCs/>
                <w:color w:val="000000"/>
                <w:sz w:val="20"/>
                <w:szCs w:val="20"/>
              </w:rPr>
            </w:pPr>
            <w:r w:rsidRPr="00D2532B">
              <w:rPr>
                <w:rFonts w:eastAsia="Times New Roman" w:cs="Times New Roman"/>
                <w:b/>
                <w:bCs/>
                <w:color w:val="000000"/>
                <w:sz w:val="20"/>
                <w:szCs w:val="20"/>
              </w:rPr>
              <w:t>Q</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380F92" w:rsidRDefault="00780331" w:rsidP="003249CF">
            <w:pPr>
              <w:spacing w:after="0" w:line="240" w:lineRule="auto"/>
              <w:jc w:val="center"/>
              <w:rPr>
                <w:rFonts w:ascii="Times New Roman" w:eastAsia="Times New Roman" w:hAnsi="Times New Roman" w:cs="Times New Roman"/>
                <w:b/>
                <w:bCs/>
                <w:color w:val="000000"/>
                <w:sz w:val="96"/>
                <w:szCs w:val="96"/>
              </w:rPr>
            </w:pPr>
            <w:r w:rsidRPr="00380F92">
              <w:rPr>
                <w:rFonts w:ascii="Times New Roman" w:eastAsia="Times New Roman" w:hAnsi="Times New Roman" w:cs="Times New Roman"/>
                <w:b/>
                <w:bCs/>
                <w:color w:val="000000"/>
                <w:sz w:val="96"/>
                <w:szCs w:val="96"/>
              </w:rPr>
              <w:t>3</w:t>
            </w:r>
          </w:p>
        </w:tc>
        <w:tc>
          <w:tcPr>
            <w:tcW w:w="5490" w:type="dxa"/>
            <w:tcBorders>
              <w:top w:val="single" w:sz="2" w:space="0" w:color="auto"/>
              <w:left w:val="single" w:sz="2" w:space="0" w:color="auto"/>
              <w:bottom w:val="single" w:sz="2" w:space="0" w:color="auto"/>
              <w:right w:val="single" w:sz="2" w:space="0" w:color="auto"/>
            </w:tcBorders>
            <w:shd w:val="clear" w:color="auto" w:fill="auto"/>
            <w:noWrap/>
          </w:tcPr>
          <w:p w:rsidR="00780331" w:rsidRPr="00BA5D02" w:rsidRDefault="00780331" w:rsidP="003249CF">
            <w:pPr>
              <w:rPr>
                <w:sz w:val="18"/>
                <w:szCs w:val="18"/>
              </w:rPr>
            </w:pPr>
            <w:r w:rsidRPr="00BA5D02">
              <w:rPr>
                <w:b/>
                <w:sz w:val="18"/>
                <w:szCs w:val="18"/>
              </w:rPr>
              <w:t>CIO reports to agency head (or to Deputy/COO)</w:t>
            </w:r>
          </w:p>
          <w:p w:rsidR="00780331" w:rsidRPr="00BA5D02" w:rsidRDefault="00780331" w:rsidP="003249CF">
            <w:pPr>
              <w:rPr>
                <w:sz w:val="18"/>
                <w:szCs w:val="18"/>
              </w:rPr>
            </w:pPr>
            <w:r w:rsidRPr="00BA5D02">
              <w:rPr>
                <w:sz w:val="18"/>
                <w:szCs w:val="18"/>
              </w:rPr>
              <w:t xml:space="preserve">DOC is in full compliance with the requirement of this element.  The DOC CIO reports to the Commerce Deputy Secretary per DOO 15-23. </w:t>
            </w:r>
          </w:p>
        </w:tc>
        <w:tc>
          <w:tcPr>
            <w:tcW w:w="3690"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p>
        </w:tc>
        <w:tc>
          <w:tcPr>
            <w:tcW w:w="4073" w:type="dxa"/>
            <w:tcBorders>
              <w:top w:val="single" w:sz="2" w:space="0" w:color="auto"/>
              <w:left w:val="single" w:sz="2" w:space="0" w:color="auto"/>
              <w:bottom w:val="single" w:sz="2" w:space="0" w:color="auto"/>
              <w:right w:val="single" w:sz="2" w:space="0" w:color="auto"/>
            </w:tcBorders>
            <w:shd w:val="clear" w:color="auto" w:fill="auto"/>
            <w:noWrap/>
            <w:vAlign w:val="center"/>
          </w:tcPr>
          <w:p w:rsidR="00780331" w:rsidRPr="00BA5D02" w:rsidRDefault="00780331" w:rsidP="003249CF">
            <w:pPr>
              <w:rPr>
                <w:sz w:val="18"/>
                <w:szCs w:val="18"/>
              </w:rPr>
            </w:pPr>
            <w:r w:rsidRPr="00BA5D02">
              <w:rPr>
                <w:sz w:val="18"/>
                <w:szCs w:val="18"/>
              </w:rPr>
              <w:t>Evidence of this requirement is show in the Department Organization Order (DOO) 15-23 states in Section 3. Administrative designation. .01 The position of CIO was designated in 44 U.S.C. § 3506, as amended by the Clinger-Cohen Act, Public Law (P.L.) 104-106. The CIO reports to and is responsible to the Secretary of Commerce (the Secretary) through the Deputy Secretary. (</w:t>
            </w:r>
            <w:hyperlink r:id="rId18" w:history="1">
              <w:r w:rsidRPr="00BA5D02">
                <w:rPr>
                  <w:rStyle w:val="Hyperlink"/>
                  <w:sz w:val="18"/>
                  <w:szCs w:val="18"/>
                </w:rPr>
                <w:t>http://www.osec.doc.gov/opog/dmp/doos/doo15_23.html</w:t>
              </w:r>
            </w:hyperlink>
            <w:r w:rsidRPr="00BA5D02">
              <w:rPr>
                <w:sz w:val="18"/>
                <w:szCs w:val="18"/>
              </w:rPr>
              <w:t xml:space="preserve">) </w:t>
            </w:r>
          </w:p>
        </w:tc>
      </w:tr>
      <w:bookmarkEnd w:id="4"/>
    </w:tbl>
    <w:p w:rsidR="00366D4C" w:rsidRPr="008F7D7A" w:rsidRDefault="00366D4C" w:rsidP="00366D4C">
      <w:pPr>
        <w:pStyle w:val="Heading1"/>
        <w:spacing w:after="240"/>
      </w:pPr>
    </w:p>
    <w:p w:rsidR="00C20BA6" w:rsidRDefault="00C20BA6"/>
    <w:sectPr w:rsidR="00C20BA6" w:rsidSect="0071351D">
      <w:headerReference w:type="default" r:id="rId19"/>
      <w:footerReference w:type="default" r:id="rId20"/>
      <w:pgSz w:w="15840" w:h="12240" w:orient="landscape"/>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AA3" w:rsidRDefault="000E3AA3">
      <w:pPr>
        <w:spacing w:after="0" w:line="240" w:lineRule="auto"/>
      </w:pPr>
      <w:r>
        <w:separator/>
      </w:r>
    </w:p>
  </w:endnote>
  <w:endnote w:type="continuationSeparator" w:id="0">
    <w:p w:rsidR="000E3AA3" w:rsidRDefault="000E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30314472"/>
      <w:docPartObj>
        <w:docPartGallery w:val="Page Numbers (Bottom of Page)"/>
        <w:docPartUnique/>
      </w:docPartObj>
    </w:sdtPr>
    <w:sdtEndPr>
      <w:rPr>
        <w:rFonts w:asciiTheme="minorHAnsi" w:hAnsiTheme="minorHAnsi"/>
        <w:noProof/>
        <w:sz w:val="18"/>
        <w:szCs w:val="18"/>
      </w:rPr>
    </w:sdtEndPr>
    <w:sdtContent>
      <w:p w:rsidR="00686856" w:rsidRPr="00BA5D02" w:rsidRDefault="00366D4C">
        <w:pPr>
          <w:pStyle w:val="Footer"/>
          <w:jc w:val="right"/>
          <w:rPr>
            <w:rFonts w:cs="Times New Roman"/>
            <w:sz w:val="18"/>
            <w:szCs w:val="18"/>
          </w:rPr>
        </w:pPr>
        <w:r w:rsidRPr="00BA5D02">
          <w:rPr>
            <w:rFonts w:cs="Times New Roman"/>
            <w:sz w:val="18"/>
            <w:szCs w:val="18"/>
          </w:rPr>
          <w:fldChar w:fldCharType="begin"/>
        </w:r>
        <w:r w:rsidRPr="00BA5D02">
          <w:rPr>
            <w:rFonts w:cs="Times New Roman"/>
            <w:sz w:val="18"/>
            <w:szCs w:val="18"/>
          </w:rPr>
          <w:instrText xml:space="preserve"> PAGE   \* MERGEFORMAT </w:instrText>
        </w:r>
        <w:r w:rsidRPr="00BA5D02">
          <w:rPr>
            <w:rFonts w:cs="Times New Roman"/>
            <w:sz w:val="18"/>
            <w:szCs w:val="18"/>
          </w:rPr>
          <w:fldChar w:fldCharType="separate"/>
        </w:r>
        <w:r w:rsidR="00925CFD">
          <w:rPr>
            <w:rFonts w:cs="Times New Roman"/>
            <w:noProof/>
            <w:sz w:val="18"/>
            <w:szCs w:val="18"/>
          </w:rPr>
          <w:t>11</w:t>
        </w:r>
        <w:r w:rsidRPr="00BA5D02">
          <w:rPr>
            <w:rFonts w:cs="Times New Roman"/>
            <w:noProof/>
            <w:sz w:val="18"/>
            <w:szCs w:val="18"/>
          </w:rPr>
          <w:fldChar w:fldCharType="end"/>
        </w:r>
      </w:p>
    </w:sdtContent>
  </w:sdt>
  <w:p w:rsidR="00686856" w:rsidRPr="002F4A4B" w:rsidRDefault="00925CFD" w:rsidP="00326D3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AA3" w:rsidRDefault="000E3AA3">
      <w:pPr>
        <w:spacing w:after="0" w:line="240" w:lineRule="auto"/>
      </w:pPr>
      <w:r>
        <w:separator/>
      </w:r>
    </w:p>
  </w:footnote>
  <w:footnote w:type="continuationSeparator" w:id="0">
    <w:p w:rsidR="000E3AA3" w:rsidRDefault="000E3A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AF" w:rsidRPr="00E97ADF" w:rsidRDefault="00366D4C" w:rsidP="00F666AF">
    <w:pPr>
      <w:pStyle w:val="Heading1"/>
      <w:spacing w:after="240"/>
      <w:jc w:val="right"/>
      <w:rPr>
        <w:rFonts w:asciiTheme="minorHAnsi" w:hAnsiTheme="minorHAnsi" w:cs="Times New Roman"/>
        <w:color w:val="auto"/>
        <w:sz w:val="20"/>
        <w:szCs w:val="20"/>
      </w:rPr>
    </w:pPr>
    <w:r w:rsidRPr="00E97ADF">
      <w:rPr>
        <w:rFonts w:asciiTheme="minorHAnsi" w:hAnsiTheme="minorHAnsi" w:cs="Times New Roman"/>
        <w:color w:val="auto"/>
        <w:sz w:val="20"/>
        <w:szCs w:val="20"/>
      </w:rPr>
      <w:t>DOC Common Baseline Self-Assessment and Plan</w:t>
    </w:r>
  </w:p>
  <w:p w:rsidR="00F666AF" w:rsidRDefault="00925C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2147"/>
    <w:multiLevelType w:val="hybridMultilevel"/>
    <w:tmpl w:val="C7B2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D077F"/>
    <w:multiLevelType w:val="hybridMultilevel"/>
    <w:tmpl w:val="6106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E1AAE"/>
    <w:multiLevelType w:val="hybridMultilevel"/>
    <w:tmpl w:val="80AE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C15DD"/>
    <w:multiLevelType w:val="hybridMultilevel"/>
    <w:tmpl w:val="F200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B3AB9"/>
    <w:multiLevelType w:val="hybridMultilevel"/>
    <w:tmpl w:val="FE32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95039"/>
    <w:multiLevelType w:val="hybridMultilevel"/>
    <w:tmpl w:val="AAD2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45A97"/>
    <w:multiLevelType w:val="hybridMultilevel"/>
    <w:tmpl w:val="DE32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F4643"/>
    <w:multiLevelType w:val="hybridMultilevel"/>
    <w:tmpl w:val="8926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4C"/>
    <w:rsid w:val="000724BD"/>
    <w:rsid w:val="000E28FE"/>
    <w:rsid w:val="000E3AA3"/>
    <w:rsid w:val="001272C9"/>
    <w:rsid w:val="00191FE4"/>
    <w:rsid w:val="001D0727"/>
    <w:rsid w:val="001E172A"/>
    <w:rsid w:val="00216E7C"/>
    <w:rsid w:val="00274DBF"/>
    <w:rsid w:val="00286B72"/>
    <w:rsid w:val="002D5863"/>
    <w:rsid w:val="002F7215"/>
    <w:rsid w:val="00352833"/>
    <w:rsid w:val="00366D4C"/>
    <w:rsid w:val="003A590C"/>
    <w:rsid w:val="00473AB3"/>
    <w:rsid w:val="004F2DDA"/>
    <w:rsid w:val="005F05A0"/>
    <w:rsid w:val="007630C6"/>
    <w:rsid w:val="00771F5B"/>
    <w:rsid w:val="00780331"/>
    <w:rsid w:val="007A4B7D"/>
    <w:rsid w:val="008B2B31"/>
    <w:rsid w:val="00925CFD"/>
    <w:rsid w:val="00976F57"/>
    <w:rsid w:val="009C75F1"/>
    <w:rsid w:val="00A37219"/>
    <w:rsid w:val="00A7455E"/>
    <w:rsid w:val="00A8558B"/>
    <w:rsid w:val="00B65462"/>
    <w:rsid w:val="00B82AB5"/>
    <w:rsid w:val="00BA5D02"/>
    <w:rsid w:val="00C15ECA"/>
    <w:rsid w:val="00C20BA6"/>
    <w:rsid w:val="00C3136A"/>
    <w:rsid w:val="00D2532B"/>
    <w:rsid w:val="00D94DE5"/>
    <w:rsid w:val="00DE0B29"/>
    <w:rsid w:val="00E97ADF"/>
    <w:rsid w:val="00EB6A87"/>
    <w:rsid w:val="00FD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190018-085C-43C8-95CE-BB33A908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D4C"/>
    <w:pPr>
      <w:spacing w:after="160" w:line="259" w:lineRule="auto"/>
    </w:pPr>
  </w:style>
  <w:style w:type="paragraph" w:styleId="Heading1">
    <w:name w:val="heading 1"/>
    <w:basedOn w:val="Normal"/>
    <w:next w:val="Normal"/>
    <w:link w:val="Heading1Char"/>
    <w:uiPriority w:val="9"/>
    <w:qFormat/>
    <w:rsid w:val="00366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D4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366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D4C"/>
  </w:style>
  <w:style w:type="paragraph" w:styleId="Footer">
    <w:name w:val="footer"/>
    <w:basedOn w:val="Normal"/>
    <w:link w:val="FooterChar"/>
    <w:uiPriority w:val="99"/>
    <w:unhideWhenUsed/>
    <w:rsid w:val="00366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D4C"/>
  </w:style>
  <w:style w:type="character" w:styleId="Hyperlink">
    <w:name w:val="Hyperlink"/>
    <w:basedOn w:val="DefaultParagraphFont"/>
    <w:uiPriority w:val="99"/>
    <w:unhideWhenUsed/>
    <w:rsid w:val="00366D4C"/>
    <w:rPr>
      <w:color w:val="0000FF"/>
      <w:u w:val="single"/>
    </w:rPr>
  </w:style>
  <w:style w:type="paragraph" w:styleId="CommentText">
    <w:name w:val="annotation text"/>
    <w:basedOn w:val="Normal"/>
    <w:link w:val="CommentTextChar"/>
    <w:uiPriority w:val="99"/>
    <w:unhideWhenUsed/>
    <w:rsid w:val="00366D4C"/>
    <w:pPr>
      <w:spacing w:line="240" w:lineRule="auto"/>
    </w:pPr>
    <w:rPr>
      <w:sz w:val="20"/>
      <w:szCs w:val="20"/>
    </w:rPr>
  </w:style>
  <w:style w:type="character" w:customStyle="1" w:styleId="CommentTextChar">
    <w:name w:val="Comment Text Char"/>
    <w:basedOn w:val="DefaultParagraphFont"/>
    <w:link w:val="CommentText"/>
    <w:uiPriority w:val="99"/>
    <w:rsid w:val="00366D4C"/>
    <w:rPr>
      <w:sz w:val="20"/>
      <w:szCs w:val="20"/>
    </w:rPr>
  </w:style>
  <w:style w:type="paragraph" w:styleId="ListParagraph">
    <w:name w:val="List Paragraph"/>
    <w:basedOn w:val="Normal"/>
    <w:uiPriority w:val="34"/>
    <w:qFormat/>
    <w:rsid w:val="00D94DE5"/>
    <w:pPr>
      <w:ind w:left="720"/>
      <w:contextualSpacing/>
    </w:pPr>
  </w:style>
  <w:style w:type="paragraph" w:styleId="BalloonText">
    <w:name w:val="Balloon Text"/>
    <w:basedOn w:val="Normal"/>
    <w:link w:val="BalloonTextChar"/>
    <w:uiPriority w:val="99"/>
    <w:semiHidden/>
    <w:unhideWhenUsed/>
    <w:rsid w:val="00191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FE4"/>
    <w:rPr>
      <w:rFonts w:ascii="Segoe UI" w:hAnsi="Segoe UI" w:cs="Segoe UI"/>
      <w:sz w:val="18"/>
      <w:szCs w:val="18"/>
    </w:rPr>
  </w:style>
  <w:style w:type="character" w:styleId="CommentReference">
    <w:name w:val="annotation reference"/>
    <w:basedOn w:val="DefaultParagraphFont"/>
    <w:uiPriority w:val="99"/>
    <w:semiHidden/>
    <w:unhideWhenUsed/>
    <w:rsid w:val="00352833"/>
    <w:rPr>
      <w:sz w:val="16"/>
      <w:szCs w:val="16"/>
    </w:rPr>
  </w:style>
  <w:style w:type="paragraph" w:styleId="CommentSubject">
    <w:name w:val="annotation subject"/>
    <w:basedOn w:val="CommentText"/>
    <w:next w:val="CommentText"/>
    <w:link w:val="CommentSubjectChar"/>
    <w:uiPriority w:val="99"/>
    <w:semiHidden/>
    <w:unhideWhenUsed/>
    <w:rsid w:val="00352833"/>
    <w:rPr>
      <w:b/>
      <w:bCs/>
    </w:rPr>
  </w:style>
  <w:style w:type="character" w:customStyle="1" w:styleId="CommentSubjectChar">
    <w:name w:val="Comment Subject Char"/>
    <w:basedOn w:val="CommentTextChar"/>
    <w:link w:val="CommentSubject"/>
    <w:uiPriority w:val="99"/>
    <w:semiHidden/>
    <w:rsid w:val="003528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max.gov/x/3ACgO" TargetMode="External"/><Relationship Id="rId13" Type="http://schemas.openxmlformats.org/officeDocument/2006/relationships/hyperlink" Target="https://community.max.gov/x/3ACgO" TargetMode="External"/><Relationship Id="rId18" Type="http://schemas.openxmlformats.org/officeDocument/2006/relationships/hyperlink" Target="http://www.osec.doc.gov/opog/dmp/doos/doo15_23.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mmunity.max.gov/x/3ACgO" TargetMode="External"/><Relationship Id="rId12" Type="http://schemas.openxmlformats.org/officeDocument/2006/relationships/hyperlink" Target="https://community.max.gov/x/3ACgO" TargetMode="External"/><Relationship Id="rId17" Type="http://schemas.openxmlformats.org/officeDocument/2006/relationships/hyperlink" Target="https://community.max.gov/x/3ACgO" TargetMode="External"/><Relationship Id="rId2" Type="http://schemas.openxmlformats.org/officeDocument/2006/relationships/styles" Target="styles.xml"/><Relationship Id="rId16" Type="http://schemas.openxmlformats.org/officeDocument/2006/relationships/hyperlink" Target="http://www.commerce.gov/digitalstrategy/bureaudirectory.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merce.gov/digitalstrategy/governanceboards.html" TargetMode="External"/><Relationship Id="rId5" Type="http://schemas.openxmlformats.org/officeDocument/2006/relationships/footnotes" Target="footnotes.xml"/><Relationship Id="rId15" Type="http://schemas.openxmlformats.org/officeDocument/2006/relationships/hyperlink" Target="https://community.max.gov/x/3ACgO" TargetMode="External"/><Relationship Id="rId10" Type="http://schemas.openxmlformats.org/officeDocument/2006/relationships/hyperlink" Target="http://www.commerce.gov/digitalstrategy/policyarchiv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ty.max.gov/x/3ACgO" TargetMode="External"/><Relationship Id="rId14" Type="http://schemas.openxmlformats.org/officeDocument/2006/relationships/hyperlink" Target="https://community.max.gov/x/3ACg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3347</Words>
  <Characters>19081</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Rovinsky, Bob</dc:creator>
  <cp:lastModifiedBy>Pennington, Thomas (Federal)</cp:lastModifiedBy>
  <cp:revision>2</cp:revision>
  <cp:lastPrinted>2015-11-04T19:15:00Z</cp:lastPrinted>
  <dcterms:created xsi:type="dcterms:W3CDTF">2016-05-13T18:59:00Z</dcterms:created>
  <dcterms:modified xsi:type="dcterms:W3CDTF">2016-05-13T18:59:00Z</dcterms:modified>
</cp:coreProperties>
</file>