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3786" w14:textId="32EE8497" w:rsidR="003E00C2" w:rsidRDefault="002848B5" w:rsidP="0095282C">
      <w:pPr>
        <w:pStyle w:val="Heading1"/>
        <w:jc w:val="center"/>
        <w:rPr>
          <w:sz w:val="32"/>
          <w:szCs w:val="32"/>
        </w:rPr>
      </w:pPr>
      <w:r w:rsidRPr="0095282C">
        <w:rPr>
          <w:sz w:val="32"/>
          <w:szCs w:val="32"/>
        </w:rPr>
        <w:t>Workforce Supply, Demand, and Gap Analysis</w:t>
      </w:r>
    </w:p>
    <w:p w14:paraId="473AE66C" w14:textId="1CF1711D" w:rsidR="0095282C" w:rsidRPr="00F35454" w:rsidRDefault="002C399F" w:rsidP="00183AE3">
      <w:pPr>
        <w:pStyle w:val="Heading2"/>
        <w:spacing w:before="0"/>
        <w:rPr>
          <w:color w:val="244061" w:themeColor="accent1" w:themeShade="80"/>
        </w:rPr>
      </w:pPr>
      <w:r w:rsidRPr="00F35454">
        <w:rPr>
          <w:color w:val="244061" w:themeColor="accent1" w:themeShade="80"/>
        </w:rPr>
        <w:t>Purpose</w:t>
      </w:r>
    </w:p>
    <w:p w14:paraId="0418E0E8" w14:textId="1B31805A" w:rsidR="003E00C2" w:rsidRDefault="002848B5" w:rsidP="00183AE3">
      <w:r>
        <w:t>This document provides Department of Commerce (DOC) bureaus with a standardized template and clear instructions to conduct a workforce supply, demand, and gap analysis. The analysis supports strategic workforce planning, mission delivery, and data-informed workforce decisions aligned with DOC and OHRM guidance.</w:t>
      </w:r>
    </w:p>
    <w:p w14:paraId="4978D3DC" w14:textId="77777777" w:rsidR="003E00C2" w:rsidRPr="00F35454" w:rsidRDefault="002848B5" w:rsidP="00183AE3">
      <w:pPr>
        <w:pStyle w:val="Heading2"/>
        <w:spacing w:before="0"/>
        <w:rPr>
          <w:color w:val="244061" w:themeColor="accent1" w:themeShade="80"/>
        </w:rPr>
      </w:pPr>
      <w:r w:rsidRPr="00F35454">
        <w:rPr>
          <w:color w:val="244061" w:themeColor="accent1" w:themeShade="80"/>
        </w:rPr>
        <w:t>How to Use This Template</w:t>
      </w:r>
    </w:p>
    <w:p w14:paraId="3B6485E0" w14:textId="5FC54245" w:rsidR="003E00C2" w:rsidRDefault="002848B5" w:rsidP="00183AE3">
      <w:r>
        <w:t>• Complete this analysis for mission-critical occupations, competencies, or functions.</w:t>
      </w:r>
      <w:r>
        <w:br/>
        <w:t>• Use a 3–</w:t>
      </w:r>
      <w:proofErr w:type="gramStart"/>
      <w:r>
        <w:t>5 year</w:t>
      </w:r>
      <w:proofErr w:type="gramEnd"/>
      <w:r>
        <w:t xml:space="preserve"> planning horizon unless otherwise directed.</w:t>
      </w:r>
      <w:r>
        <w:br/>
        <w:t>• Base inputs on the best available data (e.g., HR systems, workforce analytics, program plans).</w:t>
      </w:r>
      <w:r>
        <w:br/>
        <w:t>• Focus on trends and risks rather than exact counts where data is limited.</w:t>
      </w:r>
    </w:p>
    <w:p w14:paraId="1A70ABE2" w14:textId="77777777" w:rsidR="003E00C2" w:rsidRPr="00F35454" w:rsidRDefault="002848B5" w:rsidP="00183AE3">
      <w:pPr>
        <w:pStyle w:val="Heading2"/>
        <w:spacing w:before="0"/>
        <w:rPr>
          <w:color w:val="244061" w:themeColor="accent1" w:themeShade="80"/>
        </w:rPr>
      </w:pPr>
      <w:r w:rsidRPr="00F35454">
        <w:rPr>
          <w:color w:val="244061" w:themeColor="accent1" w:themeShade="80"/>
        </w:rPr>
        <w:t>Section 1: Workforce Demand Analysis</w:t>
      </w:r>
    </w:p>
    <w:p w14:paraId="64928641" w14:textId="64356A9D" w:rsidR="00AD2C67" w:rsidRDefault="002848B5" w:rsidP="00183AE3">
      <w:pPr>
        <w:rPr>
          <w:b/>
          <w:bCs/>
        </w:rPr>
      </w:pPr>
      <w:r w:rsidRPr="003345D9">
        <w:rPr>
          <w:b/>
          <w:bCs/>
        </w:rPr>
        <w:t>Objective:</w:t>
      </w:r>
      <w:r>
        <w:br/>
        <w:t>Identify the future workforce needed to achieve bureau and DOC strategic priorities.</w:t>
      </w:r>
    </w:p>
    <w:p w14:paraId="6F7EB7D8" w14:textId="704804AA" w:rsidR="003E00C2" w:rsidRDefault="002848B5" w:rsidP="00183AE3">
      <w:r w:rsidRPr="003345D9">
        <w:rPr>
          <w:b/>
          <w:bCs/>
        </w:rPr>
        <w:t>Instructions:</w:t>
      </w:r>
      <w:r>
        <w:br/>
        <w:t>1. Review strategic plans, budget assumptions, and program changes.</w:t>
      </w:r>
      <w:r>
        <w:br/>
        <w:t>2. Identify anticipated changes in workload, technology, policy, or mission scope.</w:t>
      </w:r>
      <w:r>
        <w:br/>
        <w:t>3. Estimate the number and types of employees and competencies needed in the future.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687"/>
        <w:gridCol w:w="1690"/>
        <w:gridCol w:w="1685"/>
        <w:gridCol w:w="2090"/>
      </w:tblGrid>
      <w:tr w:rsidR="003E00C2" w14:paraId="58587D40" w14:textId="77777777" w:rsidTr="008F5D05">
        <w:trPr>
          <w:trHeight w:val="954"/>
        </w:trPr>
        <w:tc>
          <w:tcPr>
            <w:tcW w:w="1728" w:type="dxa"/>
          </w:tcPr>
          <w:p w14:paraId="6B5FC2E4" w14:textId="77777777" w:rsidR="003E00C2" w:rsidRDefault="002848B5" w:rsidP="00183AE3">
            <w:r>
              <w:t>Mission Function / Occupation</w:t>
            </w:r>
          </w:p>
        </w:tc>
        <w:tc>
          <w:tcPr>
            <w:tcW w:w="1728" w:type="dxa"/>
          </w:tcPr>
          <w:p w14:paraId="53C4948C" w14:textId="77777777" w:rsidR="003E00C2" w:rsidRDefault="002848B5" w:rsidP="00183AE3">
            <w:r>
              <w:t>Current State</w:t>
            </w:r>
          </w:p>
        </w:tc>
        <w:tc>
          <w:tcPr>
            <w:tcW w:w="1728" w:type="dxa"/>
          </w:tcPr>
          <w:p w14:paraId="3783921B" w14:textId="77777777" w:rsidR="003E00C2" w:rsidRDefault="002848B5" w:rsidP="00183AE3">
            <w:r>
              <w:t>Future Demand (3–5 Years)</w:t>
            </w:r>
          </w:p>
        </w:tc>
        <w:tc>
          <w:tcPr>
            <w:tcW w:w="1728" w:type="dxa"/>
          </w:tcPr>
          <w:p w14:paraId="4D88E814" w14:textId="77777777" w:rsidR="003E00C2" w:rsidRDefault="002848B5" w:rsidP="00183AE3">
            <w:r>
              <w:t>Drivers of Change</w:t>
            </w:r>
          </w:p>
        </w:tc>
        <w:tc>
          <w:tcPr>
            <w:tcW w:w="1728" w:type="dxa"/>
          </w:tcPr>
          <w:p w14:paraId="183C320B" w14:textId="77777777" w:rsidR="003E00C2" w:rsidRDefault="002848B5" w:rsidP="00183AE3">
            <w:r>
              <w:t>Notes/Assumptions</w:t>
            </w:r>
          </w:p>
        </w:tc>
      </w:tr>
    </w:tbl>
    <w:p w14:paraId="55C9F55D" w14:textId="78274D01" w:rsidR="003E00C2" w:rsidRPr="00F35454" w:rsidRDefault="002848B5" w:rsidP="008F5D05">
      <w:pPr>
        <w:pStyle w:val="Heading2"/>
        <w:spacing w:before="0"/>
        <w:rPr>
          <w:color w:val="244061" w:themeColor="accent1" w:themeShade="80"/>
        </w:rPr>
      </w:pPr>
      <w:r w:rsidRPr="00F35454">
        <w:rPr>
          <w:color w:val="244061" w:themeColor="accent1" w:themeShade="80"/>
        </w:rPr>
        <w:lastRenderedPageBreak/>
        <w:t>Section 2: Workforce Supply Analysis</w:t>
      </w:r>
    </w:p>
    <w:p w14:paraId="06B4B67A" w14:textId="77777777" w:rsidR="00183AE3" w:rsidRDefault="002848B5" w:rsidP="008F5D05">
      <w:pPr>
        <w:keepNext/>
        <w:keepLines/>
        <w:contextualSpacing/>
      </w:pPr>
      <w:r w:rsidRPr="003345D9">
        <w:rPr>
          <w:b/>
          <w:bCs/>
        </w:rPr>
        <w:t>Objective:</w:t>
      </w:r>
      <w:r>
        <w:br/>
        <w:t>Assess the bureau’s current workforce and projected internal supply.</w:t>
      </w:r>
    </w:p>
    <w:p w14:paraId="3FD6C6F4" w14:textId="531FD17E" w:rsidR="003E00C2" w:rsidRDefault="002848B5" w:rsidP="008F5D05">
      <w:pPr>
        <w:keepNext/>
        <w:keepLines/>
        <w:spacing w:before="120"/>
        <w:contextualSpacing/>
      </w:pPr>
      <w:r w:rsidRPr="003345D9">
        <w:rPr>
          <w:b/>
          <w:bCs/>
        </w:rPr>
        <w:t>Instructions:</w:t>
      </w:r>
      <w:r w:rsidRPr="005B4FA4">
        <w:rPr>
          <w:b/>
          <w:bCs/>
        </w:rPr>
        <w:br/>
      </w:r>
      <w:r>
        <w:t>1. Analyze current workforce size, skills, grade structure, and employment type.</w:t>
      </w:r>
      <w:r>
        <w:br/>
        <w:t>2. Identify attrition risks such as retirements, turnover, and hard-to-fill positions.</w:t>
      </w:r>
      <w:r>
        <w:br/>
        <w:t>3. Consider internal pipelines such as reskilling, upskilling, and succession plans.</w:t>
      </w:r>
      <w:r>
        <w:br/>
      </w:r>
    </w:p>
    <w:tbl>
      <w:tblPr>
        <w:tblW w:w="898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1286"/>
        <w:gridCol w:w="1212"/>
        <w:gridCol w:w="1033"/>
        <w:gridCol w:w="2142"/>
        <w:gridCol w:w="1856"/>
      </w:tblGrid>
      <w:tr w:rsidR="003E00C2" w14:paraId="7116134C" w14:textId="77777777" w:rsidTr="008D2883">
        <w:tc>
          <w:tcPr>
            <w:tcW w:w="1458" w:type="dxa"/>
          </w:tcPr>
          <w:p w14:paraId="2D9B5423" w14:textId="77777777" w:rsidR="003E00C2" w:rsidRDefault="002848B5" w:rsidP="008F5D05">
            <w:pPr>
              <w:keepNext/>
              <w:keepLines/>
            </w:pPr>
            <w:r>
              <w:t>Mission Function / Occupation</w:t>
            </w:r>
          </w:p>
        </w:tc>
        <w:tc>
          <w:tcPr>
            <w:tcW w:w="1286" w:type="dxa"/>
          </w:tcPr>
          <w:p w14:paraId="3AF77FDB" w14:textId="77777777" w:rsidR="003E00C2" w:rsidRDefault="002848B5" w:rsidP="008F5D05">
            <w:pPr>
              <w:keepNext/>
              <w:keepLines/>
            </w:pPr>
            <w:r>
              <w:t>Current Workforce</w:t>
            </w:r>
          </w:p>
        </w:tc>
        <w:tc>
          <w:tcPr>
            <w:tcW w:w="1212" w:type="dxa"/>
          </w:tcPr>
          <w:p w14:paraId="43F0D6CA" w14:textId="77777777" w:rsidR="003E00C2" w:rsidRDefault="002848B5" w:rsidP="008F5D05">
            <w:pPr>
              <w:keepNext/>
              <w:keepLines/>
            </w:pPr>
            <w:r>
              <w:t>Projected Attrition</w:t>
            </w:r>
          </w:p>
        </w:tc>
        <w:tc>
          <w:tcPr>
            <w:tcW w:w="1033" w:type="dxa"/>
          </w:tcPr>
          <w:p w14:paraId="096CE23F" w14:textId="77777777" w:rsidR="003E00C2" w:rsidRDefault="002848B5" w:rsidP="008F5D05">
            <w:pPr>
              <w:keepNext/>
              <w:keepLines/>
            </w:pPr>
            <w:r>
              <w:t>Future Supply</w:t>
            </w:r>
          </w:p>
        </w:tc>
        <w:tc>
          <w:tcPr>
            <w:tcW w:w="2142" w:type="dxa"/>
          </w:tcPr>
          <w:p w14:paraId="31303CB7" w14:textId="77777777" w:rsidR="003E00C2" w:rsidRDefault="002848B5" w:rsidP="008F5D05">
            <w:pPr>
              <w:keepNext/>
              <w:keepLines/>
            </w:pPr>
            <w:r>
              <w:t>Key Skills/Competencies</w:t>
            </w:r>
          </w:p>
        </w:tc>
        <w:tc>
          <w:tcPr>
            <w:tcW w:w="1856" w:type="dxa"/>
          </w:tcPr>
          <w:p w14:paraId="22960A4E" w14:textId="77777777" w:rsidR="003E00C2" w:rsidRDefault="002848B5" w:rsidP="008F5D05">
            <w:pPr>
              <w:keepNext/>
              <w:keepLines/>
            </w:pPr>
            <w:r>
              <w:t>Risk Level (Low/Med/High)</w:t>
            </w:r>
          </w:p>
        </w:tc>
      </w:tr>
    </w:tbl>
    <w:p w14:paraId="76EF36F4" w14:textId="77777777" w:rsidR="003E00C2" w:rsidRPr="00F35454" w:rsidRDefault="002848B5" w:rsidP="00183AE3">
      <w:pPr>
        <w:pStyle w:val="Heading2"/>
        <w:spacing w:before="0"/>
        <w:rPr>
          <w:color w:val="244061" w:themeColor="accent1" w:themeShade="80"/>
        </w:rPr>
      </w:pPr>
      <w:r w:rsidRPr="00F35454">
        <w:rPr>
          <w:color w:val="244061" w:themeColor="accent1" w:themeShade="80"/>
        </w:rPr>
        <w:t>Section 3: Workforce Gap Analysis</w:t>
      </w:r>
    </w:p>
    <w:p w14:paraId="521C21A8" w14:textId="314F3B5D" w:rsidR="003E00C2" w:rsidRDefault="002848B5" w:rsidP="00183AE3">
      <w:pPr>
        <w:spacing w:after="0"/>
        <w:contextualSpacing/>
      </w:pPr>
      <w:r w:rsidRPr="003345D9">
        <w:rPr>
          <w:b/>
          <w:bCs/>
        </w:rPr>
        <w:t>Objective:</w:t>
      </w:r>
      <w:r w:rsidRPr="003345D9">
        <w:rPr>
          <w:b/>
          <w:bCs/>
        </w:rPr>
        <w:br/>
      </w:r>
      <w:r>
        <w:t>Compare workforce supply and demand to identify gaps and surpluses.</w:t>
      </w:r>
      <w:r>
        <w:br/>
      </w:r>
      <w:r w:rsidRPr="003345D9">
        <w:rPr>
          <w:b/>
          <w:bCs/>
        </w:rPr>
        <w:t>Instructions:</w:t>
      </w:r>
      <w:r w:rsidRPr="003345D9">
        <w:rPr>
          <w:b/>
          <w:bCs/>
        </w:rPr>
        <w:br/>
      </w:r>
      <w:r>
        <w:t>1. Compare future demand to projected supply.</w:t>
      </w:r>
      <w:r>
        <w:br/>
        <w:t>2. Identify quantitative gaps (number of staff) and qualitative gaps (skills/competencies).</w:t>
      </w:r>
      <w:r>
        <w:br/>
        <w:t>3. Prioritize gaps based on mission impact and risk.</w:t>
      </w:r>
      <w:r>
        <w:br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399"/>
        <w:gridCol w:w="1386"/>
        <w:gridCol w:w="1362"/>
        <w:gridCol w:w="1428"/>
        <w:gridCol w:w="1856"/>
      </w:tblGrid>
      <w:tr w:rsidR="003E00C2" w14:paraId="304EDB05" w14:textId="77777777" w:rsidTr="00183AE3">
        <w:tc>
          <w:tcPr>
            <w:tcW w:w="1440" w:type="dxa"/>
          </w:tcPr>
          <w:p w14:paraId="1C43FCFB" w14:textId="77777777" w:rsidR="003E00C2" w:rsidRDefault="002848B5" w:rsidP="00183AE3">
            <w:r>
              <w:t>Mission Function / Occupation</w:t>
            </w:r>
          </w:p>
        </w:tc>
        <w:tc>
          <w:tcPr>
            <w:tcW w:w="1440" w:type="dxa"/>
          </w:tcPr>
          <w:p w14:paraId="774CDF94" w14:textId="77777777" w:rsidR="003E00C2" w:rsidRDefault="002848B5" w:rsidP="00183AE3">
            <w:r>
              <w:t>Future Demand</w:t>
            </w:r>
          </w:p>
        </w:tc>
        <w:tc>
          <w:tcPr>
            <w:tcW w:w="1440" w:type="dxa"/>
          </w:tcPr>
          <w:p w14:paraId="5B2A2C05" w14:textId="77777777" w:rsidR="003E00C2" w:rsidRDefault="002848B5" w:rsidP="00183AE3">
            <w:r>
              <w:t>Future Supply</w:t>
            </w:r>
          </w:p>
        </w:tc>
        <w:tc>
          <w:tcPr>
            <w:tcW w:w="1440" w:type="dxa"/>
          </w:tcPr>
          <w:p w14:paraId="7BE7B45F" w14:textId="77777777" w:rsidR="003E00C2" w:rsidRDefault="002848B5" w:rsidP="00183AE3">
            <w:r>
              <w:t>Gap (+/-)</w:t>
            </w:r>
          </w:p>
        </w:tc>
        <w:tc>
          <w:tcPr>
            <w:tcW w:w="1440" w:type="dxa"/>
          </w:tcPr>
          <w:p w14:paraId="02FFAAAF" w14:textId="77777777" w:rsidR="003E00C2" w:rsidRDefault="002848B5" w:rsidP="00183AE3">
            <w:r>
              <w:t>Skills Gap Description</w:t>
            </w:r>
          </w:p>
        </w:tc>
        <w:tc>
          <w:tcPr>
            <w:tcW w:w="1440" w:type="dxa"/>
          </w:tcPr>
          <w:p w14:paraId="2543ACF4" w14:textId="77777777" w:rsidR="003E00C2" w:rsidRDefault="002848B5" w:rsidP="00183AE3">
            <w:r>
              <w:t>Mission Impact (Low/Med/High)</w:t>
            </w:r>
          </w:p>
        </w:tc>
      </w:tr>
    </w:tbl>
    <w:p w14:paraId="5C351925" w14:textId="77777777" w:rsidR="003E00C2" w:rsidRPr="00F35454" w:rsidRDefault="002848B5" w:rsidP="00183AE3">
      <w:pPr>
        <w:pStyle w:val="Heading2"/>
        <w:spacing w:before="0"/>
        <w:rPr>
          <w:color w:val="244061" w:themeColor="accent1" w:themeShade="80"/>
        </w:rPr>
      </w:pPr>
      <w:r w:rsidRPr="00F35454">
        <w:rPr>
          <w:color w:val="244061" w:themeColor="accent1" w:themeShade="80"/>
        </w:rPr>
        <w:t>Section 4: Summary and Workforce Planning Implications</w:t>
      </w:r>
    </w:p>
    <w:p w14:paraId="7C128178" w14:textId="1B5A1562" w:rsidR="003E00C2" w:rsidRDefault="002848B5" w:rsidP="00183AE3">
      <w:pPr>
        <w:pBdr>
          <w:bottom w:val="single" w:sz="4" w:space="1" w:color="auto"/>
        </w:pBdr>
      </w:pPr>
      <w:r w:rsidRPr="003345D9">
        <w:rPr>
          <w:b/>
          <w:bCs/>
        </w:rPr>
        <w:t>Instructions:</w:t>
      </w:r>
      <w:r w:rsidRPr="003345D9">
        <w:br/>
      </w:r>
      <w:r>
        <w:t>• Summarize the most critical workforce gaps and risks.</w:t>
      </w:r>
      <w:r>
        <w:br/>
        <w:t>• Identify which gaps require immediate action versus long-term monitoring.</w:t>
      </w:r>
      <w:r>
        <w:br/>
        <w:t>• Use this analysis to inform workforce action plans, staffing strategies, reskilling, succession planning, and budget requests.</w:t>
      </w:r>
    </w:p>
    <w:sectPr w:rsidR="003E00C2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F0FFB" w14:textId="77777777" w:rsidR="005624D3" w:rsidRDefault="005624D3" w:rsidP="00C830C4">
      <w:pPr>
        <w:spacing w:after="0" w:line="240" w:lineRule="auto"/>
      </w:pPr>
      <w:r>
        <w:separator/>
      </w:r>
    </w:p>
  </w:endnote>
  <w:endnote w:type="continuationSeparator" w:id="0">
    <w:p w14:paraId="5567A1F1" w14:textId="77777777" w:rsidR="005624D3" w:rsidRDefault="005624D3" w:rsidP="00C8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356A" w14:textId="77777777" w:rsidR="0095282C" w:rsidRDefault="00952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404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01265" w14:textId="04FE93D8" w:rsidR="0095282C" w:rsidRDefault="009528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330268" w14:textId="77777777" w:rsidR="0095282C" w:rsidRDefault="009528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F529" w14:textId="77777777" w:rsidR="0095282C" w:rsidRDefault="00952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F5CC" w14:textId="77777777" w:rsidR="005624D3" w:rsidRDefault="005624D3" w:rsidP="00C830C4">
      <w:pPr>
        <w:spacing w:after="0" w:line="240" w:lineRule="auto"/>
      </w:pPr>
      <w:r>
        <w:separator/>
      </w:r>
    </w:p>
  </w:footnote>
  <w:footnote w:type="continuationSeparator" w:id="0">
    <w:p w14:paraId="0888A7B7" w14:textId="77777777" w:rsidR="005624D3" w:rsidRDefault="005624D3" w:rsidP="00C8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7162" w14:textId="77777777" w:rsidR="0095282C" w:rsidRDefault="00952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385A" w14:textId="41A9C7A3" w:rsidR="00C830C4" w:rsidRDefault="00C830C4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7015"/>
    </w:tblGrid>
    <w:tr w:rsidR="00C830C4" w14:paraId="120782A1" w14:textId="77777777" w:rsidTr="004F06F9">
      <w:trPr>
        <w:trHeight w:val="1170"/>
      </w:trPr>
      <w:tc>
        <w:tcPr>
          <w:tcW w:w="1615" w:type="dxa"/>
        </w:tcPr>
        <w:p w14:paraId="6D6AC982" w14:textId="77777777" w:rsidR="00C830C4" w:rsidRDefault="00C830C4" w:rsidP="00C830C4">
          <w:pPr>
            <w:pStyle w:val="Header"/>
          </w:pPr>
          <w:bookmarkStart w:id="0" w:name="_Hlk219792380"/>
          <w:r>
            <w:rPr>
              <w:noProof/>
            </w:rPr>
            <w:drawing>
              <wp:inline distT="0" distB="0" distL="0" distR="0" wp14:anchorId="452B2378" wp14:editId="0BF58C2A">
                <wp:extent cx="650875" cy="647024"/>
                <wp:effectExtent l="0" t="0" r="0" b="1270"/>
                <wp:docPr id="1063179834" name="Picture 1" descr="Logo&#10;&#10;Department of Commer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3179834" name="Picture 1" descr="Logo&#10;&#10;Department of Commer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897" cy="65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5" w:type="dxa"/>
        </w:tcPr>
        <w:p w14:paraId="34C160F6" w14:textId="77777777" w:rsidR="00C830C4" w:rsidRDefault="00C830C4" w:rsidP="00C830C4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37592E">
            <w:rPr>
              <w:rFonts w:ascii="Times New Roman" w:hAnsi="Times New Roman" w:cs="Times New Roman"/>
              <w:sz w:val="24"/>
              <w:szCs w:val="24"/>
            </w:rPr>
            <w:t>U.S. Department of Commerce</w:t>
          </w:r>
        </w:p>
        <w:p w14:paraId="79B18405" w14:textId="77777777" w:rsidR="00C830C4" w:rsidRDefault="00C830C4" w:rsidP="00C830C4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Office of Human Resources Management</w:t>
          </w:r>
        </w:p>
        <w:p w14:paraId="2A22BF09" w14:textId="77777777" w:rsidR="00C830C4" w:rsidRPr="0037592E" w:rsidRDefault="00C830C4" w:rsidP="00C830C4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Office of Talent Programs</w:t>
          </w:r>
        </w:p>
      </w:tc>
    </w:tr>
    <w:bookmarkEnd w:id="0"/>
  </w:tbl>
  <w:p w14:paraId="55D9C11A" w14:textId="26EBDDD4" w:rsidR="00C830C4" w:rsidRDefault="00C830C4">
    <w:pPr>
      <w:pStyle w:val="Header"/>
    </w:pPr>
  </w:p>
  <w:p w14:paraId="72E0C1BB" w14:textId="77777777" w:rsidR="00C830C4" w:rsidRDefault="00C830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D518" w14:textId="77777777" w:rsidR="0095282C" w:rsidRDefault="00952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20B27"/>
    <w:multiLevelType w:val="multilevel"/>
    <w:tmpl w:val="3418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699072">
    <w:abstractNumId w:val="8"/>
  </w:num>
  <w:num w:numId="2" w16cid:durableId="313609352">
    <w:abstractNumId w:val="6"/>
  </w:num>
  <w:num w:numId="3" w16cid:durableId="2049406631">
    <w:abstractNumId w:val="5"/>
  </w:num>
  <w:num w:numId="4" w16cid:durableId="1515072232">
    <w:abstractNumId w:val="4"/>
  </w:num>
  <w:num w:numId="5" w16cid:durableId="201796107">
    <w:abstractNumId w:val="7"/>
  </w:num>
  <w:num w:numId="6" w16cid:durableId="816652855">
    <w:abstractNumId w:val="3"/>
  </w:num>
  <w:num w:numId="7" w16cid:durableId="797844828">
    <w:abstractNumId w:val="2"/>
  </w:num>
  <w:num w:numId="8" w16cid:durableId="556207421">
    <w:abstractNumId w:val="1"/>
  </w:num>
  <w:num w:numId="9" w16cid:durableId="1180657383">
    <w:abstractNumId w:val="0"/>
  </w:num>
  <w:num w:numId="10" w16cid:durableId="1985772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352E"/>
    <w:rsid w:val="00124DA8"/>
    <w:rsid w:val="0015074B"/>
    <w:rsid w:val="00183AE3"/>
    <w:rsid w:val="001C6232"/>
    <w:rsid w:val="002848B5"/>
    <w:rsid w:val="0029639D"/>
    <w:rsid w:val="002A4371"/>
    <w:rsid w:val="002C399F"/>
    <w:rsid w:val="002C6A8E"/>
    <w:rsid w:val="00326F90"/>
    <w:rsid w:val="003345D9"/>
    <w:rsid w:val="003C01C5"/>
    <w:rsid w:val="003E00C2"/>
    <w:rsid w:val="003F2585"/>
    <w:rsid w:val="0045311D"/>
    <w:rsid w:val="005624D3"/>
    <w:rsid w:val="005B4FA4"/>
    <w:rsid w:val="0071479C"/>
    <w:rsid w:val="0071658F"/>
    <w:rsid w:val="007401BE"/>
    <w:rsid w:val="008D2883"/>
    <w:rsid w:val="008F5D05"/>
    <w:rsid w:val="0095282C"/>
    <w:rsid w:val="00A70C95"/>
    <w:rsid w:val="00AA1D8D"/>
    <w:rsid w:val="00AD2C67"/>
    <w:rsid w:val="00B47730"/>
    <w:rsid w:val="00BC269A"/>
    <w:rsid w:val="00C830C4"/>
    <w:rsid w:val="00CB0664"/>
    <w:rsid w:val="00E953AF"/>
    <w:rsid w:val="00F354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D928E"/>
  <w14:defaultImageDpi w14:val="300"/>
  <w15:docId w15:val="{CCB3EB3D-17B1-4655-91F5-DDB44FC9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55515-6e40-425c-93d2-153dabe346bb">
      <Terms xmlns="http://schemas.microsoft.com/office/infopath/2007/PartnerControls"/>
    </lcf76f155ced4ddcb4097134ff3c332f>
    <TaxCatchAll xmlns="399c6564-bfd5-4d2c-8482-a775de38b2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B8E70C86CFE4685D3B464125BF1C6" ma:contentTypeVersion="14" ma:contentTypeDescription="Create a new document." ma:contentTypeScope="" ma:versionID="d45e1bd7baf3076a3cc0438700cf1eb7">
  <xsd:schema xmlns:xsd="http://www.w3.org/2001/XMLSchema" xmlns:xs="http://www.w3.org/2001/XMLSchema" xmlns:p="http://schemas.microsoft.com/office/2006/metadata/properties" xmlns:ns2="399c6564-bfd5-4d2c-8482-a775de38b2d3" xmlns:ns3="24355515-6e40-425c-93d2-153dabe346bb" targetNamespace="http://schemas.microsoft.com/office/2006/metadata/properties" ma:root="true" ma:fieldsID="1166610431cb3a6efe9104304a44c201" ns2:_="" ns3:_="">
    <xsd:import namespace="399c6564-bfd5-4d2c-8482-a775de38b2d3"/>
    <xsd:import namespace="24355515-6e40-425c-93d2-153dabe34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c6564-bfd5-4d2c-8482-a775de38b2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ac194ed-7f2c-4777-8149-4e9d0e2bbb07}" ma:internalName="TaxCatchAll" ma:showField="CatchAllData" ma:web="399c6564-bfd5-4d2c-8482-a775de38b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55515-6e40-425c-93d2-153dabe3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ADE039-B619-41D5-A0B8-DDD3BB919872}">
  <ds:schemaRefs>
    <ds:schemaRef ds:uri="http://schemas.microsoft.com/office/2006/metadata/properties"/>
    <ds:schemaRef ds:uri="http://schemas.microsoft.com/office/infopath/2007/PartnerControls"/>
    <ds:schemaRef ds:uri="24355515-6e40-425c-93d2-153dabe346bb"/>
    <ds:schemaRef ds:uri="399c6564-bfd5-4d2c-8482-a775de38b2d3"/>
  </ds:schemaRefs>
</ds:datastoreItem>
</file>

<file path=customXml/itemProps2.xml><?xml version="1.0" encoding="utf-8"?>
<ds:datastoreItem xmlns:ds="http://schemas.openxmlformats.org/officeDocument/2006/customXml" ds:itemID="{E70A9A4D-7CF0-4FED-BA1F-07823BAC6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B0A1D-18AF-4EC3-9490-32C2D10E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c6564-bfd5-4d2c-8482-a775de38b2d3"/>
    <ds:schemaRef ds:uri="24355515-6e40-425c-93d2-153dabe34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334</Words>
  <Characters>2155</Characters>
  <Application>Microsoft Office Word</Application>
  <DocSecurity>0</DocSecurity>
  <Lines>82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Michael, Therese (Federal)</cp:lastModifiedBy>
  <cp:revision>16</cp:revision>
  <dcterms:created xsi:type="dcterms:W3CDTF">2013-12-23T23:15:00Z</dcterms:created>
  <dcterms:modified xsi:type="dcterms:W3CDTF">2026-02-05T16:04:00Z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0x01010076FB8E70C86CFE4685D3B464125BF1C6</vt:lpwstr>
  </property>
  <property fmtid="{D5CDD505-2E9C-101B-9397-08002B2CF9AE}" pid="3" name="MediaServiceImageTags">
    <vt:lpwstr/>
  </property>
</Properties>
</file>