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B03D" w14:textId="77777777" w:rsidR="001C65A8" w:rsidRPr="000E7811" w:rsidRDefault="00E80161">
      <w:pPr>
        <w:pStyle w:val="Title"/>
        <w:rPr>
          <w:sz w:val="32"/>
          <w:szCs w:val="32"/>
        </w:rPr>
      </w:pPr>
      <w:r w:rsidRPr="000E7811">
        <w:rPr>
          <w:sz w:val="32"/>
          <w:szCs w:val="32"/>
        </w:rPr>
        <w:t>Comprehensive Root Cause Analysis (RCA) Report</w:t>
      </w:r>
    </w:p>
    <w:p w14:paraId="2364C757" w14:textId="77777777" w:rsidR="001C65A8" w:rsidRDefault="00E80161">
      <w:pPr>
        <w:pStyle w:val="Heading1"/>
      </w:pPr>
      <w:r>
        <w:t>Problem Statement</w:t>
      </w:r>
    </w:p>
    <w:p w14:paraId="6C4015E7" w14:textId="77777777" w:rsidR="001C65A8" w:rsidRDefault="00E80161">
      <w:r>
        <w:t>Rising employee turnover over the past two quarters in FY26.</w:t>
      </w:r>
    </w:p>
    <w:p w14:paraId="71953770" w14:textId="77777777" w:rsidR="001C65A8" w:rsidRDefault="00E80161">
      <w:pPr>
        <w:pStyle w:val="Heading1"/>
      </w:pPr>
      <w:r>
        <w:t>1. Problem Definition</w:t>
      </w:r>
    </w:p>
    <w:p w14:paraId="047CB74E" w14:textId="77777777" w:rsidR="001C65A8" w:rsidRDefault="00E80161">
      <w:r>
        <w:t>Over the last two quarters in FY26, the Department of Commerce has experienced an increase in employee turnover across multiple bureaus. This trend poses risks to continuity of operations, institutional knowledge retention, and progress on strategic priorities.</w:t>
      </w:r>
    </w:p>
    <w:p w14:paraId="3F90E94D" w14:textId="77777777" w:rsidR="001C65A8" w:rsidRDefault="00E80161">
      <w:pPr>
        <w:pStyle w:val="Heading1"/>
      </w:pPr>
      <w:r>
        <w:t>2. Categories of Causes (Ishikawa / Fishbone Framework)</w:t>
      </w:r>
    </w:p>
    <w:p w14:paraId="35531121" w14:textId="77777777" w:rsidR="001C65A8" w:rsidRDefault="00E80161">
      <w:pPr>
        <w:pStyle w:val="Heading2"/>
      </w:pPr>
      <w:r>
        <w:t>People</w:t>
      </w:r>
    </w:p>
    <w:p w14:paraId="4EC4F6E1" w14:textId="4EF222C6" w:rsidR="001C65A8" w:rsidRDefault="00E80161" w:rsidP="00E80161">
      <w:pPr>
        <w:pStyle w:val="ListBullet"/>
        <w:numPr>
          <w:ilvl w:val="0"/>
          <w:numId w:val="10"/>
        </w:numPr>
      </w:pPr>
      <w:r>
        <w:t>Lack of career development and growth opportunities</w:t>
      </w:r>
    </w:p>
    <w:p w14:paraId="753FF20C" w14:textId="66663C2D" w:rsidR="001C65A8" w:rsidRDefault="00E80161" w:rsidP="00E80161">
      <w:pPr>
        <w:pStyle w:val="ListBullet"/>
        <w:numPr>
          <w:ilvl w:val="0"/>
          <w:numId w:val="10"/>
        </w:numPr>
      </w:pPr>
      <w:r>
        <w:t>Low morale due to limited recognition and rewards</w:t>
      </w:r>
    </w:p>
    <w:p w14:paraId="3135AE2C" w14:textId="01C5CF69" w:rsidR="001C65A8" w:rsidRDefault="00E80161" w:rsidP="00E80161">
      <w:pPr>
        <w:pStyle w:val="ListBullet"/>
        <w:numPr>
          <w:ilvl w:val="0"/>
          <w:numId w:val="10"/>
        </w:numPr>
      </w:pPr>
      <w:r>
        <w:t>Employee burnout from high workloads</w:t>
      </w:r>
    </w:p>
    <w:p w14:paraId="7367928A" w14:textId="0C26BEAA" w:rsidR="001C65A8" w:rsidRDefault="00E80161" w:rsidP="00E80161">
      <w:pPr>
        <w:pStyle w:val="ListBullet"/>
        <w:numPr>
          <w:ilvl w:val="0"/>
          <w:numId w:val="10"/>
        </w:numPr>
      </w:pPr>
      <w:r>
        <w:t>Skills mismatch between roles and employee expertise</w:t>
      </w:r>
    </w:p>
    <w:p w14:paraId="676DC00D" w14:textId="77777777" w:rsidR="001C65A8" w:rsidRDefault="00E80161">
      <w:pPr>
        <w:pStyle w:val="Heading2"/>
      </w:pPr>
      <w:r>
        <w:t>Processes</w:t>
      </w:r>
    </w:p>
    <w:p w14:paraId="786D9FBD" w14:textId="61A6A637" w:rsidR="001C65A8" w:rsidRDefault="00E80161" w:rsidP="00E80161">
      <w:pPr>
        <w:pStyle w:val="ListBullet"/>
        <w:numPr>
          <w:ilvl w:val="0"/>
          <w:numId w:val="14"/>
        </w:numPr>
      </w:pPr>
      <w:r>
        <w:t>Inefficient onboarding process for new hires</w:t>
      </w:r>
    </w:p>
    <w:p w14:paraId="209620E1" w14:textId="2DA06D5B" w:rsidR="001C65A8" w:rsidRDefault="00E80161" w:rsidP="00E80161">
      <w:pPr>
        <w:pStyle w:val="ListBullet"/>
        <w:numPr>
          <w:ilvl w:val="0"/>
          <w:numId w:val="14"/>
        </w:numPr>
      </w:pPr>
      <w:r>
        <w:t>Unclear job expectations and performance criteria</w:t>
      </w:r>
    </w:p>
    <w:p w14:paraId="3A781E19" w14:textId="7E9002B6" w:rsidR="001C65A8" w:rsidRDefault="00E80161" w:rsidP="00E80161">
      <w:pPr>
        <w:pStyle w:val="ListBullet"/>
        <w:numPr>
          <w:ilvl w:val="0"/>
          <w:numId w:val="14"/>
        </w:numPr>
      </w:pPr>
      <w:r>
        <w:t>Limited pathways for internal mobility</w:t>
      </w:r>
    </w:p>
    <w:p w14:paraId="2D276E10" w14:textId="75C50B55" w:rsidR="001C65A8" w:rsidRDefault="00E80161" w:rsidP="00E80161">
      <w:pPr>
        <w:pStyle w:val="ListBullet"/>
        <w:numPr>
          <w:ilvl w:val="0"/>
          <w:numId w:val="14"/>
        </w:numPr>
      </w:pPr>
      <w:r>
        <w:t>Delays in the hiring process, causing existing staff to shoulder additional workloads</w:t>
      </w:r>
    </w:p>
    <w:p w14:paraId="5CB63281" w14:textId="77777777" w:rsidR="001C65A8" w:rsidRDefault="00E80161">
      <w:pPr>
        <w:pStyle w:val="Heading2"/>
      </w:pPr>
      <w:r>
        <w:t>Equipment / Technology</w:t>
      </w:r>
    </w:p>
    <w:p w14:paraId="54BC5EC5" w14:textId="48F25273" w:rsidR="001C65A8" w:rsidRDefault="00E80161" w:rsidP="00E80161">
      <w:pPr>
        <w:pStyle w:val="ListBullet"/>
        <w:numPr>
          <w:ilvl w:val="0"/>
          <w:numId w:val="15"/>
        </w:numPr>
      </w:pPr>
      <w:r>
        <w:t>Outdated HR systems preventing proactive tracking of employee engagement</w:t>
      </w:r>
    </w:p>
    <w:p w14:paraId="598C9896" w14:textId="1E0EF711" w:rsidR="001C65A8" w:rsidRDefault="00E80161" w:rsidP="00E80161">
      <w:pPr>
        <w:pStyle w:val="ListBullet"/>
        <w:numPr>
          <w:ilvl w:val="0"/>
          <w:numId w:val="15"/>
        </w:numPr>
      </w:pPr>
      <w:r>
        <w:t>Insufficient tools for effective hybrid/remote work</w:t>
      </w:r>
    </w:p>
    <w:p w14:paraId="01C6975A" w14:textId="3F28F688" w:rsidR="001C65A8" w:rsidRDefault="00E80161" w:rsidP="00E80161">
      <w:pPr>
        <w:pStyle w:val="ListBullet"/>
        <w:numPr>
          <w:ilvl w:val="0"/>
          <w:numId w:val="15"/>
        </w:numPr>
      </w:pPr>
      <w:r>
        <w:t>Slow IT support response times</w:t>
      </w:r>
    </w:p>
    <w:p w14:paraId="3AA8F78A" w14:textId="77777777" w:rsidR="001C65A8" w:rsidRDefault="00E80161">
      <w:pPr>
        <w:pStyle w:val="Heading2"/>
      </w:pPr>
      <w:r>
        <w:t>Work Environment</w:t>
      </w:r>
    </w:p>
    <w:p w14:paraId="7F2D4A8A" w14:textId="660C2378" w:rsidR="001C65A8" w:rsidRDefault="00E80161" w:rsidP="00E80161">
      <w:pPr>
        <w:pStyle w:val="ListBullet"/>
        <w:numPr>
          <w:ilvl w:val="0"/>
          <w:numId w:val="18"/>
        </w:numPr>
      </w:pPr>
      <w:r>
        <w:t>High-stress culture with limited work-life balance</w:t>
      </w:r>
    </w:p>
    <w:p w14:paraId="07918613" w14:textId="5A25E28E" w:rsidR="001C65A8" w:rsidRDefault="00E80161" w:rsidP="00E80161">
      <w:pPr>
        <w:pStyle w:val="ListBullet"/>
        <w:numPr>
          <w:ilvl w:val="0"/>
          <w:numId w:val="18"/>
        </w:numPr>
      </w:pPr>
      <w:r>
        <w:t>Rigid in-office requirements without flexible options</w:t>
      </w:r>
    </w:p>
    <w:p w14:paraId="74D136C7" w14:textId="7A7135CD" w:rsidR="001C65A8" w:rsidRDefault="00E80161" w:rsidP="00E80161">
      <w:pPr>
        <w:pStyle w:val="ListBullet"/>
        <w:numPr>
          <w:ilvl w:val="0"/>
          <w:numId w:val="18"/>
        </w:numPr>
      </w:pPr>
      <w:r>
        <w:t>Inadequate workspace design or resources affecting productivity</w:t>
      </w:r>
    </w:p>
    <w:p w14:paraId="192F731F" w14:textId="77777777" w:rsidR="001C65A8" w:rsidRDefault="00E80161">
      <w:pPr>
        <w:pStyle w:val="Heading2"/>
      </w:pPr>
      <w:r>
        <w:t>Materials / Resources</w:t>
      </w:r>
    </w:p>
    <w:p w14:paraId="4C60256E" w14:textId="6346F0F6" w:rsidR="001C65A8" w:rsidRDefault="00E80161" w:rsidP="00E80161">
      <w:pPr>
        <w:pStyle w:val="ListBullet"/>
        <w:numPr>
          <w:ilvl w:val="0"/>
          <w:numId w:val="21"/>
        </w:numPr>
      </w:pPr>
      <w:r>
        <w:t>Insufficient funding for training and professional development</w:t>
      </w:r>
    </w:p>
    <w:p w14:paraId="1F88DD81" w14:textId="7A641A1C" w:rsidR="001C65A8" w:rsidRDefault="00E80161" w:rsidP="00E80161">
      <w:pPr>
        <w:pStyle w:val="ListBullet"/>
        <w:numPr>
          <w:ilvl w:val="0"/>
          <w:numId w:val="21"/>
        </w:numPr>
      </w:pPr>
      <w:r>
        <w:lastRenderedPageBreak/>
        <w:t>Limited access to modern learning platforms and leadership programs</w:t>
      </w:r>
    </w:p>
    <w:p w14:paraId="60A670F5" w14:textId="3F8C6B6E" w:rsidR="001C65A8" w:rsidRDefault="00E80161" w:rsidP="00E80161">
      <w:pPr>
        <w:pStyle w:val="ListBullet"/>
        <w:numPr>
          <w:ilvl w:val="0"/>
          <w:numId w:val="23"/>
        </w:numPr>
      </w:pPr>
      <w:r>
        <w:t>Budget restrictions impacting employee engagement initiatives</w:t>
      </w:r>
    </w:p>
    <w:p w14:paraId="6C4851B3" w14:textId="77777777" w:rsidR="001C65A8" w:rsidRDefault="00E80161">
      <w:pPr>
        <w:pStyle w:val="Heading2"/>
      </w:pPr>
      <w:r>
        <w:t>Management / Leadership</w:t>
      </w:r>
    </w:p>
    <w:p w14:paraId="2D73330B" w14:textId="52E7BAF0" w:rsidR="001C65A8" w:rsidRDefault="00E80161" w:rsidP="00E80161">
      <w:pPr>
        <w:pStyle w:val="ListBullet"/>
        <w:numPr>
          <w:ilvl w:val="0"/>
          <w:numId w:val="24"/>
        </w:numPr>
      </w:pPr>
      <w:r>
        <w:t xml:space="preserve">Inconsistent leadership communication across </w:t>
      </w:r>
      <w:proofErr w:type="gramStart"/>
      <w:r>
        <w:t>bureaus</w:t>
      </w:r>
      <w:proofErr w:type="gramEnd"/>
    </w:p>
    <w:p w14:paraId="3779FFF1" w14:textId="2C15E099" w:rsidR="001C65A8" w:rsidRDefault="00E80161" w:rsidP="00E80161">
      <w:pPr>
        <w:pStyle w:val="ListBullet"/>
        <w:numPr>
          <w:ilvl w:val="0"/>
          <w:numId w:val="24"/>
        </w:numPr>
      </w:pPr>
      <w:r>
        <w:t>Lack of timely feedback and recognition</w:t>
      </w:r>
    </w:p>
    <w:p w14:paraId="5E5C9D4F" w14:textId="53A88D42" w:rsidR="001C65A8" w:rsidRDefault="00E80161" w:rsidP="00E80161">
      <w:pPr>
        <w:pStyle w:val="ListBullet"/>
        <w:numPr>
          <w:ilvl w:val="0"/>
          <w:numId w:val="24"/>
        </w:numPr>
      </w:pPr>
      <w:r>
        <w:t>Reactive rather than proactive retention strategies</w:t>
      </w:r>
    </w:p>
    <w:p w14:paraId="220BDAF5" w14:textId="24B30430" w:rsidR="001C65A8" w:rsidRDefault="00E80161" w:rsidP="00E80161">
      <w:pPr>
        <w:pStyle w:val="ListBullet"/>
        <w:numPr>
          <w:ilvl w:val="0"/>
          <w:numId w:val="24"/>
        </w:numPr>
      </w:pPr>
      <w:r>
        <w:t>Absence of succession planning for critical roles</w:t>
      </w:r>
    </w:p>
    <w:p w14:paraId="3BDBBB20" w14:textId="77777777" w:rsidR="001C65A8" w:rsidRDefault="00E80161">
      <w:pPr>
        <w:pStyle w:val="Heading1"/>
      </w:pPr>
      <w:r>
        <w:t>3. Key Root Causes Identified</w:t>
      </w:r>
    </w:p>
    <w:p w14:paraId="4C0AF851" w14:textId="77777777" w:rsidR="00E80161" w:rsidRDefault="00E80161" w:rsidP="00E80161">
      <w:pPr>
        <w:pStyle w:val="ListParagraph"/>
        <w:numPr>
          <w:ilvl w:val="0"/>
          <w:numId w:val="30"/>
        </w:numPr>
      </w:pPr>
      <w:r>
        <w:t>Limited career development and advancement opportunities reduce employee motivation and retention.</w:t>
      </w:r>
    </w:p>
    <w:p w14:paraId="31E36D70" w14:textId="77777777" w:rsidR="00E80161" w:rsidRDefault="00E80161" w:rsidP="00E80161">
      <w:pPr>
        <w:pStyle w:val="ListParagraph"/>
        <w:numPr>
          <w:ilvl w:val="0"/>
          <w:numId w:val="30"/>
        </w:numPr>
      </w:pPr>
      <w:r>
        <w:t>Inefficient onboarding and lack of internal mobility pathways increase disengagement.</w:t>
      </w:r>
    </w:p>
    <w:p w14:paraId="4C458E8F" w14:textId="77777777" w:rsidR="00E80161" w:rsidRDefault="00E80161" w:rsidP="00E80161">
      <w:pPr>
        <w:pStyle w:val="ListParagraph"/>
        <w:numPr>
          <w:ilvl w:val="0"/>
          <w:numId w:val="30"/>
        </w:numPr>
      </w:pPr>
      <w:r>
        <w:t>Inconsistent leadership practices and communication undermine employee trust.</w:t>
      </w:r>
    </w:p>
    <w:p w14:paraId="75BE9F5F" w14:textId="77777777" w:rsidR="00E80161" w:rsidRDefault="00E80161" w:rsidP="00E80161">
      <w:pPr>
        <w:pStyle w:val="ListParagraph"/>
        <w:numPr>
          <w:ilvl w:val="0"/>
          <w:numId w:val="30"/>
        </w:numPr>
      </w:pPr>
      <w:r>
        <w:t>Insufficient flexibility in work arrangements contributes to stress and burnout.</w:t>
      </w:r>
    </w:p>
    <w:p w14:paraId="77A69775" w14:textId="37027E93" w:rsidR="001C65A8" w:rsidRDefault="00E80161" w:rsidP="00E80161">
      <w:pPr>
        <w:pStyle w:val="ListParagraph"/>
        <w:numPr>
          <w:ilvl w:val="0"/>
          <w:numId w:val="30"/>
        </w:numPr>
      </w:pPr>
      <w:r>
        <w:t>Outdated HR and workforce management systems limit data-driven retention efforts.</w:t>
      </w:r>
    </w:p>
    <w:p w14:paraId="4D0D65BB" w14:textId="77777777" w:rsidR="001C65A8" w:rsidRDefault="00E80161">
      <w:pPr>
        <w:pStyle w:val="Heading1"/>
      </w:pPr>
      <w:r>
        <w:t>4. Recommended Actions</w:t>
      </w:r>
    </w:p>
    <w:p w14:paraId="16048516" w14:textId="77777777" w:rsidR="001C65A8" w:rsidRDefault="00E80161">
      <w:pPr>
        <w:pStyle w:val="Heading2"/>
      </w:pPr>
      <w:r>
        <w:t>Strategic Workforce Planning</w:t>
      </w:r>
    </w:p>
    <w:p w14:paraId="467261C7" w14:textId="2F7D2EEC" w:rsidR="001C65A8" w:rsidRDefault="00E80161" w:rsidP="00E80161">
      <w:pPr>
        <w:pStyle w:val="ListBullet"/>
        <w:numPr>
          <w:ilvl w:val="0"/>
          <w:numId w:val="31"/>
        </w:numPr>
      </w:pPr>
      <w:r>
        <w:t>Develop structured career pathways and mentorship programs.</w:t>
      </w:r>
    </w:p>
    <w:p w14:paraId="2D1DDF65" w14:textId="26473DA9" w:rsidR="001C65A8" w:rsidRDefault="00E80161" w:rsidP="00E80161">
      <w:pPr>
        <w:pStyle w:val="ListBullet"/>
        <w:numPr>
          <w:ilvl w:val="0"/>
          <w:numId w:val="31"/>
        </w:numPr>
      </w:pPr>
      <w:r>
        <w:t>Expand training opportunities in emerging fields (AI, cybersecurity, leadership).</w:t>
      </w:r>
    </w:p>
    <w:p w14:paraId="6E0FDFD5" w14:textId="77777777" w:rsidR="001C65A8" w:rsidRDefault="00E80161">
      <w:pPr>
        <w:pStyle w:val="Heading2"/>
      </w:pPr>
      <w:r>
        <w:t>Process Improvements</w:t>
      </w:r>
    </w:p>
    <w:p w14:paraId="720AECC8" w14:textId="4016A6B7" w:rsidR="001C65A8" w:rsidRDefault="00E80161" w:rsidP="00E80161">
      <w:pPr>
        <w:pStyle w:val="ListBullet"/>
        <w:numPr>
          <w:ilvl w:val="0"/>
          <w:numId w:val="32"/>
        </w:numPr>
      </w:pPr>
      <w:r>
        <w:t>Redesign onboarding and performance management processes.</w:t>
      </w:r>
    </w:p>
    <w:p w14:paraId="282A9EFB" w14:textId="596EC8B3" w:rsidR="001C65A8" w:rsidRDefault="00E80161" w:rsidP="00E80161">
      <w:pPr>
        <w:pStyle w:val="ListBullet"/>
        <w:numPr>
          <w:ilvl w:val="0"/>
          <w:numId w:val="32"/>
        </w:numPr>
      </w:pPr>
      <w:r>
        <w:t>Introduce fast-track internal mobility programs.</w:t>
      </w:r>
    </w:p>
    <w:p w14:paraId="0621D370" w14:textId="77777777" w:rsidR="001C65A8" w:rsidRDefault="00E80161">
      <w:pPr>
        <w:pStyle w:val="Heading2"/>
      </w:pPr>
      <w:r>
        <w:t>Technology Upgrades</w:t>
      </w:r>
    </w:p>
    <w:p w14:paraId="5AB91167" w14:textId="163B54E4" w:rsidR="001C65A8" w:rsidRDefault="00E80161" w:rsidP="00E80161">
      <w:pPr>
        <w:pStyle w:val="ListBullet"/>
        <w:numPr>
          <w:ilvl w:val="0"/>
          <w:numId w:val="33"/>
        </w:numPr>
      </w:pPr>
      <w:r>
        <w:t>Modernize HR systems to improve tracking of engagement and retention.</w:t>
      </w:r>
    </w:p>
    <w:p w14:paraId="08DD9295" w14:textId="60697C73" w:rsidR="001C65A8" w:rsidRDefault="00E80161" w:rsidP="00E80161">
      <w:pPr>
        <w:pStyle w:val="ListBullet"/>
        <w:numPr>
          <w:ilvl w:val="0"/>
          <w:numId w:val="33"/>
        </w:numPr>
      </w:pPr>
      <w:r>
        <w:t>Invest in collaboration and remote-work tools.</w:t>
      </w:r>
    </w:p>
    <w:p w14:paraId="374D22C4" w14:textId="77777777" w:rsidR="001C65A8" w:rsidRDefault="00E80161">
      <w:pPr>
        <w:pStyle w:val="Heading2"/>
      </w:pPr>
      <w:r>
        <w:t>Leadership Development</w:t>
      </w:r>
    </w:p>
    <w:p w14:paraId="253B7B5E" w14:textId="67FFEE15" w:rsidR="001C65A8" w:rsidRDefault="00E80161" w:rsidP="00E80161">
      <w:pPr>
        <w:pStyle w:val="ListBullet"/>
        <w:numPr>
          <w:ilvl w:val="0"/>
          <w:numId w:val="34"/>
        </w:numPr>
      </w:pPr>
      <w:r>
        <w:t>Strengthen supervisor training with a focus on recognition, communication, and employee support.</w:t>
      </w:r>
    </w:p>
    <w:p w14:paraId="75F88788" w14:textId="7FB1E8C2" w:rsidR="001C65A8" w:rsidRDefault="00E80161" w:rsidP="00E80161">
      <w:pPr>
        <w:pStyle w:val="ListBullet"/>
        <w:numPr>
          <w:ilvl w:val="0"/>
          <w:numId w:val="34"/>
        </w:numPr>
      </w:pPr>
      <w:r>
        <w:t>Create bureau-level retention champions accountable for engagement.</w:t>
      </w:r>
    </w:p>
    <w:p w14:paraId="5A746A0F" w14:textId="77777777" w:rsidR="001C65A8" w:rsidRDefault="00E80161">
      <w:pPr>
        <w:pStyle w:val="Heading2"/>
      </w:pPr>
      <w:r>
        <w:lastRenderedPageBreak/>
        <w:t>Workplace Flexibility</w:t>
      </w:r>
    </w:p>
    <w:p w14:paraId="3F15B2D1" w14:textId="662E0872" w:rsidR="001C65A8" w:rsidRDefault="00E80161" w:rsidP="00E80161">
      <w:pPr>
        <w:pStyle w:val="ListBullet"/>
        <w:numPr>
          <w:ilvl w:val="0"/>
          <w:numId w:val="35"/>
        </w:numPr>
      </w:pPr>
      <w:r>
        <w:t>Expand hybrid and remote work options.</w:t>
      </w:r>
    </w:p>
    <w:p w14:paraId="3E79CEF2" w14:textId="1895DB15" w:rsidR="001C65A8" w:rsidRDefault="00E80161" w:rsidP="00E80161">
      <w:pPr>
        <w:pStyle w:val="ListBullet"/>
        <w:numPr>
          <w:ilvl w:val="0"/>
          <w:numId w:val="35"/>
        </w:numPr>
      </w:pPr>
      <w:r>
        <w:t>Provide wellness and resilience programs to reduce burnout.</w:t>
      </w:r>
    </w:p>
    <w:p w14:paraId="6204FDA4" w14:textId="77777777" w:rsidR="001C65A8" w:rsidRDefault="00E80161">
      <w:pPr>
        <w:pStyle w:val="Heading1"/>
      </w:pPr>
      <w:r>
        <w:t>5. Expected Outcomes</w:t>
      </w:r>
    </w:p>
    <w:p w14:paraId="21EB4661" w14:textId="77777777" w:rsidR="00E80161" w:rsidRDefault="00E80161" w:rsidP="00E80161">
      <w:r>
        <w:t>By addressing these root causes, Commerce can expect:</w:t>
      </w:r>
    </w:p>
    <w:p w14:paraId="1BC73575" w14:textId="77777777" w:rsidR="00E80161" w:rsidRDefault="00E80161" w:rsidP="00E80161">
      <w:pPr>
        <w:pStyle w:val="ListParagraph"/>
        <w:numPr>
          <w:ilvl w:val="0"/>
          <w:numId w:val="39"/>
        </w:numPr>
      </w:pPr>
      <w:r>
        <w:t>Improved employee morale and engagement</w:t>
      </w:r>
    </w:p>
    <w:p w14:paraId="16F7451B" w14:textId="77777777" w:rsidR="00E80161" w:rsidRDefault="00E80161" w:rsidP="00E80161">
      <w:pPr>
        <w:pStyle w:val="ListParagraph"/>
        <w:numPr>
          <w:ilvl w:val="0"/>
          <w:numId w:val="39"/>
        </w:numPr>
      </w:pPr>
      <w:r>
        <w:t>Reduced turnover rates across bureaus</w:t>
      </w:r>
    </w:p>
    <w:p w14:paraId="07560EEF" w14:textId="77777777" w:rsidR="00E80161" w:rsidRDefault="00E80161" w:rsidP="00E80161">
      <w:pPr>
        <w:pStyle w:val="ListParagraph"/>
        <w:numPr>
          <w:ilvl w:val="0"/>
          <w:numId w:val="39"/>
        </w:numPr>
      </w:pPr>
      <w:r>
        <w:t>Stronger pipelines for critical roles</w:t>
      </w:r>
    </w:p>
    <w:p w14:paraId="7EE009F5" w14:textId="77777777" w:rsidR="00E80161" w:rsidRDefault="00E80161" w:rsidP="00E80161">
      <w:pPr>
        <w:pStyle w:val="ListParagraph"/>
        <w:numPr>
          <w:ilvl w:val="0"/>
          <w:numId w:val="39"/>
        </w:numPr>
      </w:pPr>
      <w:r>
        <w:t>Increased organizational agility and resilience</w:t>
      </w:r>
    </w:p>
    <w:p w14:paraId="748373B6" w14:textId="6E1A37EA" w:rsidR="001C65A8" w:rsidRDefault="00E80161" w:rsidP="00E80161">
      <w:pPr>
        <w:pStyle w:val="ListParagraph"/>
        <w:numPr>
          <w:ilvl w:val="0"/>
          <w:numId w:val="39"/>
        </w:numPr>
      </w:pPr>
      <w:r>
        <w:t>Enhanced reputation as an employer of choice in the federal space</w:t>
      </w:r>
    </w:p>
    <w:sectPr w:rsidR="001C65A8"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6329" w14:textId="77777777" w:rsidR="000E7811" w:rsidRDefault="000E7811" w:rsidP="000E7811">
      <w:pPr>
        <w:spacing w:after="0" w:line="240" w:lineRule="auto"/>
      </w:pPr>
      <w:r>
        <w:separator/>
      </w:r>
    </w:p>
  </w:endnote>
  <w:endnote w:type="continuationSeparator" w:id="0">
    <w:p w14:paraId="02EF8F2C" w14:textId="77777777" w:rsidR="000E7811" w:rsidRDefault="000E7811" w:rsidP="000E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1632" w14:textId="287D3DF8" w:rsidR="00595663" w:rsidRDefault="00595663" w:rsidP="008B5D24">
    <w:pPr>
      <w:pStyle w:val="Footer"/>
      <w:jc w:val="center"/>
    </w:pPr>
    <w:r>
      <w:t>Department of Commerce, Office of Human Resources Management</w:t>
    </w:r>
  </w:p>
  <w:p w14:paraId="6EDCE47D" w14:textId="77777777" w:rsidR="00E11B6F" w:rsidRDefault="00E11B6F" w:rsidP="008B5D24">
    <w:pPr>
      <w:pStyle w:val="Footer"/>
      <w:jc w:val="center"/>
    </w:pPr>
  </w:p>
  <w:p w14:paraId="5D731496" w14:textId="77777777" w:rsidR="000E7811" w:rsidRDefault="000E7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0CD3" w14:textId="77777777" w:rsidR="000E7811" w:rsidRDefault="000E7811" w:rsidP="000E7811">
      <w:pPr>
        <w:spacing w:after="0" w:line="240" w:lineRule="auto"/>
      </w:pPr>
      <w:r>
        <w:separator/>
      </w:r>
    </w:p>
  </w:footnote>
  <w:footnote w:type="continuationSeparator" w:id="0">
    <w:p w14:paraId="59995FE7" w14:textId="77777777" w:rsidR="000E7811" w:rsidRDefault="000E7811" w:rsidP="000E7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63BA" w14:textId="5EDA9029" w:rsidR="00C51B3E" w:rsidRDefault="00C51B3E">
    <w:pPr>
      <w:pStyle w:val="Header"/>
    </w:pPr>
    <w:r>
      <w:rPr>
        <w:noProof/>
      </w:rPr>
      <w:drawing>
        <wp:inline distT="0" distB="0" distL="0" distR="0" wp14:anchorId="4C316FD4" wp14:editId="2D89ABDB">
          <wp:extent cx="925830" cy="920352"/>
          <wp:effectExtent l="0" t="0" r="7620" b="0"/>
          <wp:docPr id="101650354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03549"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553" cy="925047"/>
                  </a:xfrm>
                  <a:prstGeom prst="rect">
                    <a:avLst/>
                  </a:prstGeom>
                  <a:noFill/>
                  <a:ln>
                    <a:noFill/>
                  </a:ln>
                </pic:spPr>
              </pic:pic>
            </a:graphicData>
          </a:graphic>
        </wp:inline>
      </w:drawing>
    </w:r>
  </w:p>
  <w:p w14:paraId="1DCCC983" w14:textId="77777777" w:rsidR="000E7811" w:rsidRDefault="000E7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101767"/>
    <w:multiLevelType w:val="hybridMultilevel"/>
    <w:tmpl w:val="6CAC8C8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BD64CFD"/>
    <w:multiLevelType w:val="hybridMultilevel"/>
    <w:tmpl w:val="8C1C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508EE"/>
    <w:multiLevelType w:val="hybridMultilevel"/>
    <w:tmpl w:val="F6665B2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3EC7802"/>
    <w:multiLevelType w:val="hybridMultilevel"/>
    <w:tmpl w:val="92CC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F012B8"/>
    <w:multiLevelType w:val="hybridMultilevel"/>
    <w:tmpl w:val="84BCC52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43B5563"/>
    <w:multiLevelType w:val="hybridMultilevel"/>
    <w:tmpl w:val="DB06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E6982"/>
    <w:multiLevelType w:val="hybridMultilevel"/>
    <w:tmpl w:val="88F6E91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C1518"/>
    <w:multiLevelType w:val="hybridMultilevel"/>
    <w:tmpl w:val="DDDE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67B92"/>
    <w:multiLevelType w:val="hybridMultilevel"/>
    <w:tmpl w:val="D34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81569"/>
    <w:multiLevelType w:val="hybridMultilevel"/>
    <w:tmpl w:val="26AA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87F71"/>
    <w:multiLevelType w:val="hybridMultilevel"/>
    <w:tmpl w:val="D464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5D082C"/>
    <w:multiLevelType w:val="hybridMultilevel"/>
    <w:tmpl w:val="5B38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25805"/>
    <w:multiLevelType w:val="hybridMultilevel"/>
    <w:tmpl w:val="16A6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50ED3"/>
    <w:multiLevelType w:val="hybridMultilevel"/>
    <w:tmpl w:val="B1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A6DCE"/>
    <w:multiLevelType w:val="hybridMultilevel"/>
    <w:tmpl w:val="790ADF04"/>
    <w:lvl w:ilvl="0" w:tplc="1B3088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D4374"/>
    <w:multiLevelType w:val="hybridMultilevel"/>
    <w:tmpl w:val="96888BD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016041"/>
    <w:multiLevelType w:val="hybridMultilevel"/>
    <w:tmpl w:val="B188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179D8"/>
    <w:multiLevelType w:val="hybridMultilevel"/>
    <w:tmpl w:val="F2B0ECB8"/>
    <w:lvl w:ilvl="0" w:tplc="04090001">
      <w:start w:val="1"/>
      <w:numFmt w:val="bullet"/>
      <w:lvlText w:val=""/>
      <w:lvlJc w:val="left"/>
      <w:pPr>
        <w:ind w:left="720" w:hanging="360"/>
      </w:pPr>
      <w:rPr>
        <w:rFonts w:ascii="Symbol" w:hAnsi="Symbol" w:hint="default"/>
      </w:rPr>
    </w:lvl>
    <w:lvl w:ilvl="1" w:tplc="DF5A1FF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44974"/>
    <w:multiLevelType w:val="hybridMultilevel"/>
    <w:tmpl w:val="683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6C769B"/>
    <w:multiLevelType w:val="hybridMultilevel"/>
    <w:tmpl w:val="DD84CC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1939CF"/>
    <w:multiLevelType w:val="hybridMultilevel"/>
    <w:tmpl w:val="3A869262"/>
    <w:lvl w:ilvl="0" w:tplc="1B3088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4132F"/>
    <w:multiLevelType w:val="hybridMultilevel"/>
    <w:tmpl w:val="E6B2C6E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3CF16A8"/>
    <w:multiLevelType w:val="hybridMultilevel"/>
    <w:tmpl w:val="CA56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D3BB8"/>
    <w:multiLevelType w:val="hybridMultilevel"/>
    <w:tmpl w:val="95F0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573EB"/>
    <w:multiLevelType w:val="hybridMultilevel"/>
    <w:tmpl w:val="346A51C8"/>
    <w:lvl w:ilvl="0" w:tplc="1B3088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C4EEA"/>
    <w:multiLevelType w:val="hybridMultilevel"/>
    <w:tmpl w:val="7C42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C6077"/>
    <w:multiLevelType w:val="hybridMultilevel"/>
    <w:tmpl w:val="F102974C"/>
    <w:lvl w:ilvl="0" w:tplc="1B30882C">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6F4E6C"/>
    <w:multiLevelType w:val="hybridMultilevel"/>
    <w:tmpl w:val="751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C52C2"/>
    <w:multiLevelType w:val="hybridMultilevel"/>
    <w:tmpl w:val="6B36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EC4425"/>
    <w:multiLevelType w:val="hybridMultilevel"/>
    <w:tmpl w:val="FD9ABB96"/>
    <w:lvl w:ilvl="0" w:tplc="1B3088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90052">
    <w:abstractNumId w:val="8"/>
  </w:num>
  <w:num w:numId="2" w16cid:durableId="1045375727">
    <w:abstractNumId w:val="6"/>
  </w:num>
  <w:num w:numId="3" w16cid:durableId="1759711041">
    <w:abstractNumId w:val="5"/>
  </w:num>
  <w:num w:numId="4" w16cid:durableId="1872641956">
    <w:abstractNumId w:val="4"/>
  </w:num>
  <w:num w:numId="5" w16cid:durableId="974720842">
    <w:abstractNumId w:val="7"/>
  </w:num>
  <w:num w:numId="6" w16cid:durableId="782729080">
    <w:abstractNumId w:val="3"/>
  </w:num>
  <w:num w:numId="7" w16cid:durableId="1517957783">
    <w:abstractNumId w:val="2"/>
  </w:num>
  <w:num w:numId="8" w16cid:durableId="1221864223">
    <w:abstractNumId w:val="1"/>
  </w:num>
  <w:num w:numId="9" w16cid:durableId="2125037356">
    <w:abstractNumId w:val="0"/>
  </w:num>
  <w:num w:numId="10" w16cid:durableId="64960903">
    <w:abstractNumId w:val="25"/>
  </w:num>
  <w:num w:numId="11" w16cid:durableId="294717691">
    <w:abstractNumId w:val="31"/>
  </w:num>
  <w:num w:numId="12" w16cid:durableId="166215227">
    <w:abstractNumId w:val="23"/>
  </w:num>
  <w:num w:numId="13" w16cid:durableId="554660470">
    <w:abstractNumId w:val="35"/>
  </w:num>
  <w:num w:numId="14" w16cid:durableId="2029865958">
    <w:abstractNumId w:val="28"/>
  </w:num>
  <w:num w:numId="15" w16cid:durableId="771828011">
    <w:abstractNumId w:val="14"/>
  </w:num>
  <w:num w:numId="16" w16cid:durableId="1814909173">
    <w:abstractNumId w:val="29"/>
  </w:num>
  <w:num w:numId="17" w16cid:durableId="740102012">
    <w:abstractNumId w:val="22"/>
  </w:num>
  <w:num w:numId="18" w16cid:durableId="1788545055">
    <w:abstractNumId w:val="32"/>
  </w:num>
  <w:num w:numId="19" w16cid:durableId="1937979392">
    <w:abstractNumId w:val="33"/>
  </w:num>
  <w:num w:numId="20" w16cid:durableId="251357641">
    <w:abstractNumId w:val="18"/>
  </w:num>
  <w:num w:numId="21" w16cid:durableId="391270900">
    <w:abstractNumId w:val="26"/>
  </w:num>
  <w:num w:numId="22" w16cid:durableId="292173740">
    <w:abstractNumId w:val="38"/>
  </w:num>
  <w:num w:numId="23" w16cid:durableId="182087522">
    <w:abstractNumId w:val="24"/>
  </w:num>
  <w:num w:numId="24" w16cid:durableId="961615623">
    <w:abstractNumId w:val="19"/>
  </w:num>
  <w:num w:numId="25" w16cid:durableId="143593183">
    <w:abstractNumId w:val="21"/>
  </w:num>
  <w:num w:numId="26" w16cid:durableId="187642197">
    <w:abstractNumId w:val="9"/>
  </w:num>
  <w:num w:numId="27" w16cid:durableId="1115095321">
    <w:abstractNumId w:val="13"/>
  </w:num>
  <w:num w:numId="28" w16cid:durableId="1197501206">
    <w:abstractNumId w:val="11"/>
  </w:num>
  <w:num w:numId="29" w16cid:durableId="804274025">
    <w:abstractNumId w:val="30"/>
  </w:num>
  <w:num w:numId="30" w16cid:durableId="1672367957">
    <w:abstractNumId w:val="15"/>
  </w:num>
  <w:num w:numId="31" w16cid:durableId="1153183228">
    <w:abstractNumId w:val="34"/>
  </w:num>
  <w:num w:numId="32" w16cid:durableId="719862040">
    <w:abstractNumId w:val="37"/>
  </w:num>
  <w:num w:numId="33" w16cid:durableId="1344018864">
    <w:abstractNumId w:val="16"/>
  </w:num>
  <w:num w:numId="34" w16cid:durableId="679817103">
    <w:abstractNumId w:val="27"/>
  </w:num>
  <w:num w:numId="35" w16cid:durableId="1911501567">
    <w:abstractNumId w:val="20"/>
  </w:num>
  <w:num w:numId="36" w16cid:durableId="766121170">
    <w:abstractNumId w:val="36"/>
  </w:num>
  <w:num w:numId="37" w16cid:durableId="2101485853">
    <w:abstractNumId w:val="12"/>
  </w:num>
  <w:num w:numId="38" w16cid:durableId="1430541844">
    <w:abstractNumId w:val="10"/>
  </w:num>
  <w:num w:numId="39" w16cid:durableId="2068142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811"/>
    <w:rsid w:val="0015074B"/>
    <w:rsid w:val="001C65A8"/>
    <w:rsid w:val="0029639D"/>
    <w:rsid w:val="002E11DC"/>
    <w:rsid w:val="00326F90"/>
    <w:rsid w:val="00595663"/>
    <w:rsid w:val="008B12A4"/>
    <w:rsid w:val="008B5D24"/>
    <w:rsid w:val="00AA1D8D"/>
    <w:rsid w:val="00B47730"/>
    <w:rsid w:val="00C51B3E"/>
    <w:rsid w:val="00CB0664"/>
    <w:rsid w:val="00DA4BBA"/>
    <w:rsid w:val="00E11B6F"/>
    <w:rsid w:val="00E80161"/>
    <w:rsid w:val="00FC693F"/>
    <w:rsid w:val="00FF1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252418"/>
  <w14:defaultImageDpi w14:val="300"/>
  <w15:docId w15:val="{E19B5498-23D2-4142-8035-B1936287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FB8E70C86CFE4685D3B464125BF1C6" ma:contentTypeVersion="14" ma:contentTypeDescription="Create a new document." ma:contentTypeScope="" ma:versionID="a73a4d140838d42d9d7fb21e8a593d70">
  <xsd:schema xmlns:xsd="http://www.w3.org/2001/XMLSchema" xmlns:xs="http://www.w3.org/2001/XMLSchema" xmlns:p="http://schemas.microsoft.com/office/2006/metadata/properties" xmlns:ns2="399c6564-bfd5-4d2c-8482-a775de38b2d3" xmlns:ns3="24355515-6e40-425c-93d2-153dabe346bb" targetNamespace="http://schemas.microsoft.com/office/2006/metadata/properties" ma:root="true" ma:fieldsID="383ad64dd667222cfce81437ea8b72ca" ns2:_="" ns3:_="">
    <xsd:import namespace="399c6564-bfd5-4d2c-8482-a775de38b2d3"/>
    <xsd:import namespace="24355515-6e40-425c-93d2-153dabe346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c6564-bfd5-4d2c-8482-a775de38b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c194ed-7f2c-4777-8149-4e9d0e2bbb07}" ma:internalName="TaxCatchAll" ma:showField="CatchAllData" ma:web="399c6564-bfd5-4d2c-8482-a775de38b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55515-6e40-425c-93d2-153dabe346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55515-6e40-425c-93d2-153dabe346bb">
      <Terms xmlns="http://schemas.microsoft.com/office/infopath/2007/PartnerControls"/>
    </lcf76f155ced4ddcb4097134ff3c332f>
    <TaxCatchAll xmlns="399c6564-bfd5-4d2c-8482-a775de38b2d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4EF7B88-CD85-4AC7-925B-A64E7BED4663}"/>
</file>

<file path=customXml/itemProps3.xml><?xml version="1.0" encoding="utf-8"?>
<ds:datastoreItem xmlns:ds="http://schemas.openxmlformats.org/officeDocument/2006/customXml" ds:itemID="{8D49CF3F-DBBA-4E5B-AA22-F402BD07C045}"/>
</file>

<file path=customXml/itemProps4.xml><?xml version="1.0" encoding="utf-8"?>
<ds:datastoreItem xmlns:ds="http://schemas.openxmlformats.org/officeDocument/2006/customXml" ds:itemID="{B11DB357-A8F1-4475-A733-2B1CC5CD7ED2}"/>
</file>

<file path=docProps/app.xml><?xml version="1.0" encoding="utf-8"?>
<Properties xmlns="http://schemas.openxmlformats.org/officeDocument/2006/extended-properties" xmlns:vt="http://schemas.openxmlformats.org/officeDocument/2006/docPropsVTypes">
  <Template>Normal</Template>
  <TotalTime>13</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Miller, Ron (Federal)</cp:lastModifiedBy>
  <cp:revision>8</cp:revision>
  <dcterms:created xsi:type="dcterms:W3CDTF">2025-09-09T17:03:00Z</dcterms:created>
  <dcterms:modified xsi:type="dcterms:W3CDTF">2025-09-15T16:31:00Z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0x01010076FB8E70C86CFE4685D3B464125BF1C6</vt:lpwstr>
  </property>
</Properties>
</file>