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893B" w14:textId="100B8F22" w:rsidR="70F3519E" w:rsidRDefault="70F3519E" w:rsidP="57100345">
      <w:pPr>
        <w:pStyle w:val="Heading1"/>
        <w:pBdr>
          <w:bottom w:val="single" w:sz="30" w:space="8" w:color="000000"/>
        </w:pBdr>
        <w:shd w:val="clear" w:color="auto" w:fill="FFFFFF" w:themeFill="background1"/>
        <w:spacing w:before="300" w:after="30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t>Attachment A</w:t>
      </w:r>
    </w:p>
    <w:p w14:paraId="2D3F5DDB" w14:textId="08A70D11" w:rsidR="2ECB827F" w:rsidRDefault="2ECB827F" w:rsidP="57100345">
      <w:pPr>
        <w:pStyle w:val="Heading1"/>
        <w:pBdr>
          <w:bottom w:val="single" w:sz="30" w:space="8" w:color="000000"/>
        </w:pBdr>
        <w:shd w:val="clear" w:color="auto" w:fill="FFFFFF" w:themeFill="background1"/>
        <w:spacing w:before="300" w:after="30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t>Part 39- Acquisition of Information and Communication Technology</w:t>
      </w:r>
    </w:p>
    <w:p w14:paraId="334859A0" w14:textId="0FD9D144" w:rsidR="2ECB827F" w:rsidRDefault="2ECB827F" w:rsidP="57100345">
      <w:pPr>
        <w:shd w:val="clear" w:color="auto" w:fill="FFFFFF" w:themeFill="background1"/>
        <w:spacing w:after="150"/>
        <w:rPr>
          <w:rFonts w:eastAsiaTheme="minorEastAsia"/>
        </w:rPr>
      </w:pPr>
      <w:hyperlink r:id="rId9" w:anchor="FAR_39_001">
        <w:r w:rsidRPr="57100345">
          <w:rPr>
            <w:rStyle w:val="Hyperlink"/>
            <w:rFonts w:eastAsiaTheme="minorEastAsia"/>
            <w:color w:val="225895"/>
            <w:u w:val="none"/>
          </w:rPr>
          <w:t>39.001 Applicability.</w:t>
        </w:r>
      </w:hyperlink>
    </w:p>
    <w:p w14:paraId="0EAD9245" w14:textId="50878EB0" w:rsidR="2ECB827F" w:rsidRDefault="2ECB827F" w:rsidP="57100345">
      <w:pPr>
        <w:shd w:val="clear" w:color="auto" w:fill="FFFFFF" w:themeFill="background1"/>
        <w:spacing w:after="150"/>
        <w:rPr>
          <w:rFonts w:eastAsiaTheme="minorEastAsia"/>
        </w:rPr>
      </w:pPr>
      <w:hyperlink r:id="rId10" w:anchor="FAR_Subpart_39_1">
        <w:r w:rsidRPr="57100345">
          <w:rPr>
            <w:rStyle w:val="Hyperlink"/>
            <w:rFonts w:eastAsiaTheme="minorEastAsia"/>
            <w:color w:val="225895"/>
            <w:u w:val="none"/>
          </w:rPr>
          <w:t xml:space="preserve">Subpart 39.1 - </w:t>
        </w:r>
        <w:proofErr w:type="spellStart"/>
        <w:r w:rsidRPr="57100345">
          <w:rPr>
            <w:rStyle w:val="Hyperlink"/>
            <w:rFonts w:eastAsiaTheme="minorEastAsia"/>
            <w:color w:val="225895"/>
            <w:u w:val="none"/>
          </w:rPr>
          <w:t>Presolicitation</w:t>
        </w:r>
        <w:proofErr w:type="spellEnd"/>
      </w:hyperlink>
    </w:p>
    <w:p w14:paraId="3EED31C3" w14:textId="310DFFCD" w:rsidR="2ECB827F" w:rsidRDefault="2ECB827F" w:rsidP="57100345">
      <w:pPr>
        <w:shd w:val="clear" w:color="auto" w:fill="FFFFFF" w:themeFill="background1"/>
        <w:spacing w:after="150"/>
        <w:rPr>
          <w:rFonts w:eastAsiaTheme="minorEastAsia"/>
        </w:rPr>
      </w:pPr>
      <w:hyperlink r:id="rId11" w:anchor="FAR_39_101">
        <w:r w:rsidRPr="57100345">
          <w:rPr>
            <w:rStyle w:val="Hyperlink"/>
            <w:rFonts w:eastAsiaTheme="minorEastAsia"/>
            <w:color w:val="225895"/>
            <w:u w:val="none"/>
          </w:rPr>
          <w:t>39.101 Management of risk.</w:t>
        </w:r>
      </w:hyperlink>
    </w:p>
    <w:p w14:paraId="58E60984" w14:textId="2466A28A" w:rsidR="2ECB827F" w:rsidRDefault="2ECB827F" w:rsidP="57100345">
      <w:pPr>
        <w:shd w:val="clear" w:color="auto" w:fill="FFFFFF" w:themeFill="background1"/>
        <w:spacing w:after="150"/>
        <w:rPr>
          <w:rFonts w:eastAsiaTheme="minorEastAsia"/>
        </w:rPr>
      </w:pPr>
      <w:hyperlink r:id="rId12" w:anchor="FAR_39_102">
        <w:r w:rsidRPr="57100345">
          <w:rPr>
            <w:rStyle w:val="Hyperlink"/>
            <w:rFonts w:eastAsiaTheme="minorEastAsia"/>
            <w:color w:val="225895"/>
            <w:u w:val="none"/>
          </w:rPr>
          <w:t>39.102 Modular contracting.</w:t>
        </w:r>
      </w:hyperlink>
    </w:p>
    <w:p w14:paraId="19962952" w14:textId="56CD3E00" w:rsidR="2ECB827F" w:rsidRDefault="2ECB827F" w:rsidP="57100345">
      <w:pPr>
        <w:shd w:val="clear" w:color="auto" w:fill="FFFFFF" w:themeFill="background1"/>
        <w:spacing w:after="150"/>
        <w:rPr>
          <w:rFonts w:eastAsiaTheme="minorEastAsia"/>
        </w:rPr>
      </w:pPr>
      <w:hyperlink r:id="rId13" w:anchor="FAR_39_103">
        <w:r w:rsidRPr="57100345">
          <w:rPr>
            <w:rStyle w:val="Hyperlink"/>
            <w:rFonts w:eastAsiaTheme="minorEastAsia"/>
            <w:color w:val="225895"/>
            <w:u w:val="none"/>
          </w:rPr>
          <w:t>39.103 Information technology services.</w:t>
        </w:r>
      </w:hyperlink>
    </w:p>
    <w:p w14:paraId="79E75972" w14:textId="326264EF" w:rsidR="2ECB827F" w:rsidRDefault="2ECB827F" w:rsidP="57100345">
      <w:pPr>
        <w:shd w:val="clear" w:color="auto" w:fill="FFFFFF" w:themeFill="background1"/>
        <w:spacing w:after="150"/>
        <w:rPr>
          <w:rFonts w:eastAsiaTheme="minorEastAsia"/>
        </w:rPr>
      </w:pPr>
      <w:hyperlink r:id="rId14" w:anchor="FAR_39_104">
        <w:r w:rsidRPr="57100345">
          <w:rPr>
            <w:rStyle w:val="Hyperlink"/>
            <w:rFonts w:eastAsiaTheme="minorEastAsia"/>
            <w:color w:val="225895"/>
            <w:u w:val="none"/>
          </w:rPr>
          <w:t>39.104 ICT accessibility standards.</w:t>
        </w:r>
      </w:hyperlink>
    </w:p>
    <w:p w14:paraId="488E992A" w14:textId="1BA7F741" w:rsidR="2ECB827F" w:rsidRDefault="2ECB827F" w:rsidP="57100345">
      <w:pPr>
        <w:shd w:val="clear" w:color="auto" w:fill="FFFFFF" w:themeFill="background1"/>
        <w:spacing w:after="150"/>
        <w:rPr>
          <w:rFonts w:eastAsiaTheme="minorEastAsia"/>
        </w:rPr>
      </w:pPr>
      <w:hyperlink r:id="rId15" w:anchor="FAR_39_104_1">
        <w:r w:rsidRPr="57100345">
          <w:rPr>
            <w:rStyle w:val="Hyperlink"/>
            <w:rFonts w:eastAsiaTheme="minorEastAsia"/>
            <w:color w:val="225895"/>
            <w:u w:val="none"/>
          </w:rPr>
          <w:t>39.104-1 Scope.</w:t>
        </w:r>
      </w:hyperlink>
    </w:p>
    <w:p w14:paraId="54D3D4C9" w14:textId="7C643316" w:rsidR="2ECB827F" w:rsidRDefault="2ECB827F" w:rsidP="57100345">
      <w:pPr>
        <w:shd w:val="clear" w:color="auto" w:fill="FFFFFF" w:themeFill="background1"/>
        <w:spacing w:after="150"/>
        <w:rPr>
          <w:rFonts w:eastAsiaTheme="minorEastAsia"/>
        </w:rPr>
      </w:pPr>
      <w:hyperlink r:id="rId16" w:anchor="FAR_39_104_2">
        <w:r w:rsidRPr="57100345">
          <w:rPr>
            <w:rStyle w:val="Hyperlink"/>
            <w:rFonts w:eastAsiaTheme="minorEastAsia"/>
            <w:color w:val="225895"/>
            <w:u w:val="none"/>
          </w:rPr>
          <w:t>39.104-2 Policy.</w:t>
        </w:r>
      </w:hyperlink>
    </w:p>
    <w:p w14:paraId="1B0B0867" w14:textId="558EBF69" w:rsidR="2ECB827F" w:rsidRDefault="2ECB827F" w:rsidP="57100345">
      <w:pPr>
        <w:shd w:val="clear" w:color="auto" w:fill="FFFFFF" w:themeFill="background1"/>
        <w:spacing w:after="150"/>
        <w:rPr>
          <w:rFonts w:eastAsiaTheme="minorEastAsia"/>
        </w:rPr>
      </w:pPr>
      <w:hyperlink r:id="rId17" w:anchor="FAR_39_104_3">
        <w:r w:rsidRPr="57100345">
          <w:rPr>
            <w:rStyle w:val="Hyperlink"/>
            <w:rFonts w:eastAsiaTheme="minorEastAsia"/>
            <w:color w:val="225895"/>
            <w:u w:val="none"/>
          </w:rPr>
          <w:t>39.104-3 Applicability.</w:t>
        </w:r>
      </w:hyperlink>
    </w:p>
    <w:p w14:paraId="5534B694" w14:textId="04647BDB" w:rsidR="2ECB827F" w:rsidRDefault="2ECB827F" w:rsidP="57100345">
      <w:pPr>
        <w:shd w:val="clear" w:color="auto" w:fill="FFFFFF" w:themeFill="background1"/>
        <w:spacing w:after="150"/>
        <w:rPr>
          <w:rFonts w:eastAsiaTheme="minorEastAsia"/>
        </w:rPr>
      </w:pPr>
      <w:hyperlink r:id="rId18" w:anchor="FAR_39_104_4">
        <w:r w:rsidRPr="57100345">
          <w:rPr>
            <w:rStyle w:val="Hyperlink"/>
            <w:rFonts w:eastAsiaTheme="minorEastAsia"/>
            <w:color w:val="225895"/>
            <w:u w:val="none"/>
          </w:rPr>
          <w:t>39.104-4 Exceptions.</w:t>
        </w:r>
      </w:hyperlink>
    </w:p>
    <w:p w14:paraId="6920B02C" w14:textId="4D76B8E9" w:rsidR="2ECB827F" w:rsidRDefault="2ECB827F" w:rsidP="57100345">
      <w:pPr>
        <w:shd w:val="clear" w:color="auto" w:fill="FFFFFF" w:themeFill="background1"/>
        <w:spacing w:after="150"/>
        <w:rPr>
          <w:rFonts w:eastAsiaTheme="minorEastAsia"/>
        </w:rPr>
      </w:pPr>
      <w:hyperlink r:id="rId19" w:anchor="FAR_39_104_5">
        <w:r w:rsidRPr="57100345">
          <w:rPr>
            <w:rStyle w:val="Hyperlink"/>
            <w:rFonts w:eastAsiaTheme="minorEastAsia"/>
            <w:color w:val="225895"/>
            <w:u w:val="none"/>
          </w:rPr>
          <w:t>39.104-5 Exemptions.</w:t>
        </w:r>
      </w:hyperlink>
    </w:p>
    <w:p w14:paraId="38AD8AB0" w14:textId="54C262BE" w:rsidR="2ECB827F" w:rsidRDefault="2ECB827F" w:rsidP="57100345">
      <w:pPr>
        <w:shd w:val="clear" w:color="auto" w:fill="FFFFFF" w:themeFill="background1"/>
        <w:spacing w:after="150"/>
        <w:rPr>
          <w:rFonts w:eastAsiaTheme="minorEastAsia"/>
        </w:rPr>
      </w:pPr>
      <w:hyperlink r:id="rId20" w:anchor="FAR_Subpart_39_2">
        <w:r w:rsidRPr="57100345">
          <w:rPr>
            <w:rStyle w:val="Hyperlink"/>
            <w:rFonts w:eastAsiaTheme="minorEastAsia"/>
            <w:color w:val="225895"/>
            <w:u w:val="none"/>
          </w:rPr>
          <w:t>Subpart 39.2 - Evaluation and Award</w:t>
        </w:r>
      </w:hyperlink>
    </w:p>
    <w:p w14:paraId="6611F129" w14:textId="71E28DB3" w:rsidR="2ECB827F" w:rsidRDefault="2ECB827F" w:rsidP="57100345">
      <w:pPr>
        <w:shd w:val="clear" w:color="auto" w:fill="FFFFFF" w:themeFill="background1"/>
        <w:spacing w:after="150"/>
        <w:rPr>
          <w:rFonts w:eastAsiaTheme="minorEastAsia"/>
        </w:rPr>
      </w:pPr>
      <w:hyperlink r:id="rId21" w:anchor="FAR_39_201">
        <w:r w:rsidRPr="57100345">
          <w:rPr>
            <w:rStyle w:val="Hyperlink"/>
            <w:rFonts w:eastAsiaTheme="minorEastAsia"/>
            <w:color w:val="225895"/>
            <w:u w:val="none"/>
          </w:rPr>
          <w:t>39.201 Scope of subpart.</w:t>
        </w:r>
      </w:hyperlink>
    </w:p>
    <w:p w14:paraId="27E7BCA7" w14:textId="3FEBBDA0" w:rsidR="2ECB827F" w:rsidRDefault="2ECB827F" w:rsidP="57100345">
      <w:pPr>
        <w:shd w:val="clear" w:color="auto" w:fill="FFFFFF" w:themeFill="background1"/>
        <w:spacing w:after="150"/>
        <w:rPr>
          <w:rFonts w:eastAsiaTheme="minorEastAsia"/>
        </w:rPr>
      </w:pPr>
      <w:hyperlink r:id="rId22" w:anchor="FAR_Subpart_39_3">
        <w:r w:rsidRPr="57100345">
          <w:rPr>
            <w:rStyle w:val="Hyperlink"/>
            <w:rFonts w:eastAsiaTheme="minorEastAsia"/>
            <w:color w:val="225895"/>
            <w:u w:val="none"/>
          </w:rPr>
          <w:t xml:space="preserve">Subpart 39.3 </w:t>
        </w:r>
        <w:proofErr w:type="spellStart"/>
        <w:r w:rsidRPr="57100345">
          <w:rPr>
            <w:rStyle w:val="Hyperlink"/>
            <w:rFonts w:eastAsiaTheme="minorEastAsia"/>
            <w:color w:val="225895"/>
            <w:u w:val="none"/>
          </w:rPr>
          <w:t>Postaward</w:t>
        </w:r>
        <w:proofErr w:type="spellEnd"/>
      </w:hyperlink>
    </w:p>
    <w:p w14:paraId="2FB4A4BD" w14:textId="0AF4FC1A" w:rsidR="2ECB827F" w:rsidRDefault="2ECB827F" w:rsidP="57100345">
      <w:pPr>
        <w:shd w:val="clear" w:color="auto" w:fill="FFFFFF" w:themeFill="background1"/>
        <w:spacing w:after="150"/>
        <w:rPr>
          <w:rFonts w:eastAsiaTheme="minorEastAsia"/>
        </w:rPr>
      </w:pPr>
      <w:hyperlink r:id="rId23" w:anchor="FAR_39_301">
        <w:r w:rsidRPr="57100345">
          <w:rPr>
            <w:rStyle w:val="Hyperlink"/>
            <w:rFonts w:eastAsiaTheme="minorEastAsia"/>
            <w:color w:val="225895"/>
            <w:u w:val="none"/>
          </w:rPr>
          <w:t>39.301 ICT accessibility standards for task orders or delivery orders.</w:t>
        </w:r>
      </w:hyperlink>
    </w:p>
    <w:p w14:paraId="69994B3C" w14:textId="5A1D1094" w:rsidR="2ECB827F" w:rsidRDefault="2ECB827F" w:rsidP="57100345">
      <w:pPr>
        <w:pStyle w:val="Heading2"/>
        <w:spacing w:before="300" w:after="15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t>39.001</w:t>
      </w:r>
      <w:r w:rsidR="365115C1" w:rsidRPr="57100345">
        <w:rPr>
          <w:rFonts w:asciiTheme="minorHAnsi" w:eastAsiaTheme="minorEastAsia" w:hAnsiTheme="minorHAnsi" w:cstheme="minorBidi"/>
          <w:b/>
          <w:bCs/>
          <w:color w:val="333333"/>
          <w:sz w:val="24"/>
          <w:szCs w:val="24"/>
        </w:rPr>
        <w:t xml:space="preserve"> </w:t>
      </w:r>
      <w:r w:rsidRPr="57100345">
        <w:rPr>
          <w:rFonts w:asciiTheme="minorHAnsi" w:eastAsiaTheme="minorEastAsia" w:hAnsiTheme="minorHAnsi" w:cstheme="minorBidi"/>
          <w:b/>
          <w:bCs/>
          <w:color w:val="333333"/>
          <w:sz w:val="24"/>
          <w:szCs w:val="24"/>
        </w:rPr>
        <w:t>Applicability.</w:t>
      </w:r>
    </w:p>
    <w:p w14:paraId="43921474" w14:textId="381901BE" w:rsidR="2ECB827F" w:rsidRDefault="2ECB827F" w:rsidP="57100345">
      <w:pPr>
        <w:spacing w:after="0"/>
        <w:rPr>
          <w:rFonts w:eastAsiaTheme="minorEastAsia"/>
          <w:color w:val="000000" w:themeColor="text1"/>
        </w:rPr>
      </w:pPr>
      <w:r w:rsidRPr="57100345">
        <w:rPr>
          <w:rFonts w:eastAsiaTheme="minorEastAsia"/>
          <w:color w:val="000000" w:themeColor="text1"/>
        </w:rPr>
        <w:t>(a)(</w:t>
      </w:r>
      <w:proofErr w:type="gramStart"/>
      <w:r w:rsidRPr="57100345">
        <w:rPr>
          <w:rFonts w:eastAsiaTheme="minorEastAsia"/>
          <w:color w:val="000000" w:themeColor="text1"/>
        </w:rPr>
        <w:t>1)This</w:t>
      </w:r>
      <w:proofErr w:type="gramEnd"/>
      <w:r w:rsidRPr="57100345">
        <w:rPr>
          <w:rFonts w:eastAsiaTheme="minorEastAsia"/>
          <w:color w:val="000000" w:themeColor="text1"/>
        </w:rPr>
        <w:t xml:space="preserve"> part applies to acquiring information and communication technology (ICT), and supplies and services that use ICT.</w:t>
      </w:r>
    </w:p>
    <w:p w14:paraId="7CB8B081" w14:textId="6A451F80"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2)This</w:t>
      </w:r>
      <w:proofErr w:type="gramEnd"/>
      <w:r w:rsidRPr="57100345">
        <w:rPr>
          <w:rFonts w:eastAsiaTheme="minorEastAsia"/>
          <w:color w:val="000000" w:themeColor="text1"/>
        </w:rPr>
        <w:t xml:space="preserve"> part emphasizes strategies that promote faster acquisition and secure deployment of technology that is new or emerging.</w:t>
      </w:r>
    </w:p>
    <w:p w14:paraId="3CA464DD" w14:textId="2FB6C650"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(b)This part does not apply to acquiring information technology for national security </w:t>
      </w:r>
      <w:proofErr w:type="gramStart"/>
      <w:r w:rsidRPr="57100345">
        <w:rPr>
          <w:rFonts w:eastAsiaTheme="minorEastAsia"/>
          <w:color w:val="000000" w:themeColor="text1"/>
        </w:rPr>
        <w:t>systems;</w:t>
      </w:r>
      <w:proofErr w:type="gramEnd"/>
      <w:r w:rsidRPr="57100345">
        <w:rPr>
          <w:rFonts w:eastAsiaTheme="minorEastAsia"/>
          <w:color w:val="000000" w:themeColor="text1"/>
        </w:rPr>
        <w:t xml:space="preserve"> as defined in 40 U.S.C. 11103</w:t>
      </w:r>
    </w:p>
    <w:p w14:paraId="291FD23E" w14:textId="101482D8" w:rsidR="2ECB827F" w:rsidRDefault="2ECB827F" w:rsidP="57100345">
      <w:pPr>
        <w:pStyle w:val="Heading2"/>
        <w:spacing w:before="300" w:after="15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lastRenderedPageBreak/>
        <w:t xml:space="preserve">Subpart 39.1- </w:t>
      </w:r>
      <w:proofErr w:type="spellStart"/>
      <w:r w:rsidRPr="57100345">
        <w:rPr>
          <w:rFonts w:asciiTheme="minorHAnsi" w:eastAsiaTheme="minorEastAsia" w:hAnsiTheme="minorHAnsi" w:cstheme="minorBidi"/>
          <w:b/>
          <w:bCs/>
          <w:color w:val="333333"/>
          <w:sz w:val="24"/>
          <w:szCs w:val="24"/>
        </w:rPr>
        <w:t>Presolicitation</w:t>
      </w:r>
      <w:proofErr w:type="spellEnd"/>
    </w:p>
    <w:p w14:paraId="01ADB929" w14:textId="49A5F4FA"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39.101Management of risk.</w:t>
      </w:r>
    </w:p>
    <w:p w14:paraId="6B7F1204" w14:textId="0CD085F0"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(a)Before </w:t>
      </w:r>
      <w:proofErr w:type="gramStart"/>
      <w:r w:rsidRPr="57100345">
        <w:rPr>
          <w:rFonts w:eastAsiaTheme="minorEastAsia"/>
          <w:color w:val="000000" w:themeColor="text1"/>
        </w:rPr>
        <w:t>entering into</w:t>
      </w:r>
      <w:proofErr w:type="gramEnd"/>
      <w:r w:rsidRPr="57100345">
        <w:rPr>
          <w:rFonts w:eastAsiaTheme="minorEastAsia"/>
          <w:color w:val="000000" w:themeColor="text1"/>
        </w:rPr>
        <w:t xml:space="preserve"> an information technology contract, agencies should analyze risks, benefits, and costs. Reasonable risk taking is appropriate as long as risks are controlled and mitigated.</w:t>
      </w:r>
    </w:p>
    <w:p w14:paraId="74251711" w14:textId="6F51E465" w:rsidR="2ECB827F" w:rsidRDefault="2ECB827F" w:rsidP="57100345">
      <w:pPr>
        <w:spacing w:after="150"/>
        <w:rPr>
          <w:rFonts w:eastAsiaTheme="minorEastAsia"/>
          <w:color w:val="000000" w:themeColor="text1"/>
        </w:rPr>
      </w:pPr>
      <w:r w:rsidRPr="57100345">
        <w:rPr>
          <w:rFonts w:eastAsiaTheme="minorEastAsia"/>
          <w:color w:val="000000" w:themeColor="text1"/>
        </w:rPr>
        <w:t>(b)Both contracting and program office officials are responsible for assessing, monitoring and controlling risk throughout the acquisition process.</w:t>
      </w:r>
    </w:p>
    <w:p w14:paraId="3BA4F4F1" w14:textId="2DC9587D"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39.102Modular contracting.</w:t>
      </w:r>
    </w:p>
    <w:p w14:paraId="16F14BB5" w14:textId="1C172297" w:rsidR="2ECB827F" w:rsidRDefault="2ECB827F" w:rsidP="57100345">
      <w:pPr>
        <w:spacing w:after="150"/>
        <w:rPr>
          <w:rFonts w:eastAsiaTheme="minorEastAsia"/>
          <w:color w:val="000000" w:themeColor="text1"/>
        </w:rPr>
      </w:pPr>
      <w:r w:rsidRPr="57100345">
        <w:rPr>
          <w:rFonts w:eastAsiaTheme="minorEastAsia"/>
          <w:color w:val="000000" w:themeColor="text1"/>
        </w:rPr>
        <w:t>(a)Agencies should use modular contracting (i.e., use one or more contracts to acquire information technology systems in successive, interoperable increments) to acquire major systems of information technology, to the maximum extent possible (see 41 U.S.C. 2308). Agencies may also use modular contracting to acquire non-major systems of information technology.</w:t>
      </w:r>
    </w:p>
    <w:p w14:paraId="39BD6D1E" w14:textId="0117F96D" w:rsidR="2ECB827F" w:rsidRDefault="2ECB827F" w:rsidP="57100345">
      <w:pPr>
        <w:spacing w:after="150"/>
        <w:rPr>
          <w:rFonts w:eastAsiaTheme="minorEastAsia"/>
          <w:color w:val="000000" w:themeColor="text1"/>
        </w:rPr>
      </w:pPr>
      <w:r w:rsidRPr="57100345">
        <w:rPr>
          <w:rFonts w:eastAsiaTheme="minorEastAsia"/>
          <w:color w:val="000000" w:themeColor="text1"/>
        </w:rPr>
        <w:t>(b)When acquiring an information technology system (i.e., either a major system or non-major system), it may be divided into several smaller increments (see 41 U.S.C. 2308(c)) that—</w:t>
      </w:r>
    </w:p>
    <w:p w14:paraId="07E36290" w14:textId="08E44067"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1)Are</w:t>
      </w:r>
      <w:proofErr w:type="gramEnd"/>
      <w:r w:rsidRPr="57100345">
        <w:rPr>
          <w:rFonts w:eastAsiaTheme="minorEastAsia"/>
          <w:color w:val="000000" w:themeColor="text1"/>
        </w:rPr>
        <w:t xml:space="preserve"> easier to manage individually than would be possible in one comprehensive </w:t>
      </w:r>
      <w:proofErr w:type="gramStart"/>
      <w:r w:rsidRPr="57100345">
        <w:rPr>
          <w:rFonts w:eastAsiaTheme="minorEastAsia"/>
          <w:color w:val="000000" w:themeColor="text1"/>
        </w:rPr>
        <w:t>acquisition;</w:t>
      </w:r>
      <w:proofErr w:type="gramEnd"/>
    </w:p>
    <w:p w14:paraId="6EF2A5B9" w14:textId="15FEF69A"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2)Address</w:t>
      </w:r>
      <w:proofErr w:type="gramEnd"/>
      <w:r w:rsidRPr="57100345">
        <w:rPr>
          <w:rFonts w:eastAsiaTheme="minorEastAsia"/>
          <w:color w:val="000000" w:themeColor="text1"/>
        </w:rPr>
        <w:t xml:space="preserve"> complex information technology objectives incrementally to enhance the likelihood of achieving workable systems or solutions for attainment of those </w:t>
      </w:r>
      <w:proofErr w:type="gramStart"/>
      <w:r w:rsidRPr="57100345">
        <w:rPr>
          <w:rFonts w:eastAsiaTheme="minorEastAsia"/>
          <w:color w:val="000000" w:themeColor="text1"/>
        </w:rPr>
        <w:t>objectives;</w:t>
      </w:r>
      <w:proofErr w:type="gramEnd"/>
    </w:p>
    <w:p w14:paraId="17662716" w14:textId="7BD4122F"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3)Provide</w:t>
      </w:r>
      <w:proofErr w:type="gramEnd"/>
      <w:r w:rsidRPr="57100345">
        <w:rPr>
          <w:rFonts w:eastAsiaTheme="minorEastAsia"/>
          <w:color w:val="000000" w:themeColor="text1"/>
        </w:rPr>
        <w:t xml:space="preserve"> for delivery, implementation, and testing of workable systems or solutions in discrete increments, each of which comprises a system or solution that is not dependent on any subsequent increment </w:t>
      </w:r>
      <w:proofErr w:type="gramStart"/>
      <w:r w:rsidRPr="57100345">
        <w:rPr>
          <w:rFonts w:eastAsiaTheme="minorEastAsia"/>
          <w:color w:val="000000" w:themeColor="text1"/>
        </w:rPr>
        <w:t>in order to</w:t>
      </w:r>
      <w:proofErr w:type="gramEnd"/>
      <w:r w:rsidRPr="57100345">
        <w:rPr>
          <w:rFonts w:eastAsiaTheme="minorEastAsia"/>
          <w:color w:val="000000" w:themeColor="text1"/>
        </w:rPr>
        <w:t xml:space="preserve"> perform its principal functions; and</w:t>
      </w:r>
    </w:p>
    <w:p w14:paraId="67430E14" w14:textId="745D4DD6"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4)Provide</w:t>
      </w:r>
      <w:proofErr w:type="gramEnd"/>
      <w:r w:rsidRPr="57100345">
        <w:rPr>
          <w:rFonts w:eastAsiaTheme="minorEastAsia"/>
          <w:color w:val="000000" w:themeColor="text1"/>
        </w:rPr>
        <w:t xml:space="preserve"> an opportunity for subsequent increments to take advantage of any evolution in technology or needs that occur during implementation and use of the earlier increments.</w:t>
      </w:r>
    </w:p>
    <w:p w14:paraId="4ED2EE80" w14:textId="5035CD8A"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(c)To promote compatibility, each increment should comply with common or commercially acceptable information technology standards when available and </w:t>
      </w:r>
      <w:proofErr w:type="gramStart"/>
      <w:r w:rsidRPr="57100345">
        <w:rPr>
          <w:rFonts w:eastAsiaTheme="minorEastAsia"/>
          <w:color w:val="000000" w:themeColor="text1"/>
        </w:rPr>
        <w:t>appropriate, and</w:t>
      </w:r>
      <w:proofErr w:type="gramEnd"/>
      <w:r w:rsidRPr="57100345">
        <w:rPr>
          <w:rFonts w:eastAsiaTheme="minorEastAsia"/>
          <w:color w:val="000000" w:themeColor="text1"/>
        </w:rPr>
        <w:t xml:space="preserve"> be compatible with other (including earlier and later) increments.</w:t>
      </w:r>
    </w:p>
    <w:p w14:paraId="03FF0E6D" w14:textId="164EA8D5" w:rsidR="2ECB827F" w:rsidRDefault="2ECB827F" w:rsidP="57100345">
      <w:pPr>
        <w:spacing w:after="150"/>
        <w:rPr>
          <w:rFonts w:eastAsiaTheme="minorEastAsia"/>
          <w:color w:val="000000" w:themeColor="text1"/>
        </w:rPr>
      </w:pPr>
      <w:r w:rsidRPr="57100345">
        <w:rPr>
          <w:rFonts w:eastAsiaTheme="minorEastAsia"/>
          <w:color w:val="000000" w:themeColor="text1"/>
        </w:rPr>
        <w:t>(d)When using modular contracting, agencies should, to the maximum extent possible—</w:t>
      </w:r>
    </w:p>
    <w:p w14:paraId="4D5B01C8" w14:textId="09BC6F41"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1)Award</w:t>
      </w:r>
      <w:proofErr w:type="gramEnd"/>
      <w:r w:rsidRPr="57100345">
        <w:rPr>
          <w:rFonts w:eastAsiaTheme="minorEastAsia"/>
          <w:color w:val="000000" w:themeColor="text1"/>
        </w:rPr>
        <w:t xml:space="preserve"> a contract for an increment within 180 days after the date on which the solicitation is issued. If an award cannot be made within 180 days, agencies should consider cancelling the solicitation in accordance with 14.209 or 15.206(e).</w:t>
      </w:r>
    </w:p>
    <w:p w14:paraId="43495D74" w14:textId="69D5B240" w:rsidR="2ECB827F" w:rsidRDefault="2ECB827F" w:rsidP="57100345">
      <w:pPr>
        <w:spacing w:after="150"/>
        <w:rPr>
          <w:rFonts w:eastAsiaTheme="minorEastAsia"/>
          <w:color w:val="000000" w:themeColor="text1"/>
        </w:rPr>
      </w:pPr>
      <w:r w:rsidRPr="57100345">
        <w:rPr>
          <w:rFonts w:eastAsiaTheme="minorEastAsia"/>
          <w:color w:val="000000" w:themeColor="text1"/>
        </w:rPr>
        <w:lastRenderedPageBreak/>
        <w:t>(</w:t>
      </w:r>
      <w:proofErr w:type="gramStart"/>
      <w:r w:rsidRPr="57100345">
        <w:rPr>
          <w:rFonts w:eastAsiaTheme="minorEastAsia"/>
          <w:color w:val="000000" w:themeColor="text1"/>
        </w:rPr>
        <w:t>2)Schedule</w:t>
      </w:r>
      <w:proofErr w:type="gramEnd"/>
      <w:r w:rsidRPr="57100345">
        <w:rPr>
          <w:rFonts w:eastAsiaTheme="minorEastAsia"/>
          <w:color w:val="000000" w:themeColor="text1"/>
        </w:rPr>
        <w:t xml:space="preserve"> deliveries under the contract to occur within 18 months after the solicitation was issued.</w:t>
      </w:r>
    </w:p>
    <w:p w14:paraId="48D5A2DC" w14:textId="42657E29"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39.103Information technology services.</w:t>
      </w:r>
    </w:p>
    <w:p w14:paraId="520F4400" w14:textId="3F8172F9"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When acquiring information technology services, solicitations should not describe any minimum experience or educational requirements for proposed contractor personnel, unless the contracting officer </w:t>
      </w:r>
      <w:proofErr w:type="gramStart"/>
      <w:r w:rsidRPr="57100345">
        <w:rPr>
          <w:rFonts w:eastAsiaTheme="minorEastAsia"/>
          <w:color w:val="000000" w:themeColor="text1"/>
        </w:rPr>
        <w:t>determines that</w:t>
      </w:r>
      <w:proofErr w:type="gramEnd"/>
      <w:r w:rsidRPr="57100345">
        <w:rPr>
          <w:rFonts w:eastAsiaTheme="minorEastAsia"/>
          <w:color w:val="000000" w:themeColor="text1"/>
        </w:rPr>
        <w:t xml:space="preserve"> the needs of the agency—</w:t>
      </w:r>
    </w:p>
    <w:p w14:paraId="0C4D4CD9" w14:textId="22979489" w:rsidR="2ECB827F" w:rsidRDefault="2ECB827F" w:rsidP="57100345">
      <w:pPr>
        <w:spacing w:after="150"/>
        <w:rPr>
          <w:rFonts w:eastAsiaTheme="minorEastAsia"/>
          <w:color w:val="000000" w:themeColor="text1"/>
        </w:rPr>
      </w:pPr>
      <w:r w:rsidRPr="57100345">
        <w:rPr>
          <w:rFonts w:eastAsiaTheme="minorEastAsia"/>
          <w:color w:val="000000" w:themeColor="text1"/>
        </w:rPr>
        <w:t>(a)Cannot be met without that requirement; or</w:t>
      </w:r>
    </w:p>
    <w:p w14:paraId="6EA47391" w14:textId="6FE25B1F"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(b)Require </w:t>
      </w:r>
      <w:proofErr w:type="gramStart"/>
      <w:r w:rsidRPr="57100345">
        <w:rPr>
          <w:rFonts w:eastAsiaTheme="minorEastAsia"/>
          <w:color w:val="000000" w:themeColor="text1"/>
        </w:rPr>
        <w:t>using</w:t>
      </w:r>
      <w:proofErr w:type="gramEnd"/>
      <w:r w:rsidRPr="57100345">
        <w:rPr>
          <w:rFonts w:eastAsiaTheme="minorEastAsia"/>
          <w:color w:val="000000" w:themeColor="text1"/>
        </w:rPr>
        <w:t xml:space="preserve"> other than a performance-based acquisition (see subpart 37.6).</w:t>
      </w:r>
    </w:p>
    <w:p w14:paraId="04BDEA6B" w14:textId="7CB2DAAD"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39.104ICT accessibility standards.</w:t>
      </w:r>
    </w:p>
    <w:p w14:paraId="31AFD836" w14:textId="4896551D" w:rsidR="2ECB827F" w:rsidRDefault="2ECB827F" w:rsidP="57100345">
      <w:pPr>
        <w:pStyle w:val="Heading4"/>
        <w:spacing w:before="359" w:after="359"/>
        <w:rPr>
          <w:rFonts w:eastAsiaTheme="minorEastAsia" w:cstheme="minorBidi"/>
          <w:b/>
          <w:bCs/>
          <w:i w:val="0"/>
          <w:iCs w:val="0"/>
          <w:color w:val="333333"/>
        </w:rPr>
      </w:pPr>
      <w:r w:rsidRPr="57100345">
        <w:rPr>
          <w:rFonts w:eastAsiaTheme="minorEastAsia" w:cstheme="minorBidi"/>
          <w:b/>
          <w:bCs/>
          <w:i w:val="0"/>
          <w:iCs w:val="0"/>
          <w:color w:val="333333"/>
        </w:rPr>
        <w:t>39.104-1</w:t>
      </w:r>
      <w:r w:rsidR="69E2C970" w:rsidRPr="57100345">
        <w:rPr>
          <w:rFonts w:eastAsiaTheme="minorEastAsia" w:cstheme="minorBidi"/>
          <w:b/>
          <w:bCs/>
          <w:i w:val="0"/>
          <w:iCs w:val="0"/>
          <w:color w:val="333333"/>
        </w:rPr>
        <w:t xml:space="preserve"> </w:t>
      </w:r>
      <w:r w:rsidRPr="57100345">
        <w:rPr>
          <w:rFonts w:eastAsiaTheme="minorEastAsia" w:cstheme="minorBidi"/>
          <w:b/>
          <w:bCs/>
          <w:i w:val="0"/>
          <w:iCs w:val="0"/>
          <w:color w:val="333333"/>
        </w:rPr>
        <w:t>Scope.</w:t>
      </w:r>
    </w:p>
    <w:p w14:paraId="4598E0DA" w14:textId="71F32A6F" w:rsidR="2ECB827F" w:rsidRDefault="2ECB827F" w:rsidP="57100345">
      <w:pPr>
        <w:spacing w:after="150"/>
        <w:rPr>
          <w:rFonts w:eastAsiaTheme="minorEastAsia"/>
          <w:color w:val="000000" w:themeColor="text1"/>
        </w:rPr>
      </w:pPr>
      <w:r w:rsidRPr="57100345">
        <w:rPr>
          <w:rFonts w:eastAsiaTheme="minorEastAsia"/>
          <w:color w:val="000000" w:themeColor="text1"/>
        </w:rPr>
        <w:t>(a)This section implements section 508 of the Rehabilitation Act of 1973 (29 U.S.C. 794d), and the Architectural and Transportation Barriers Compliance Board's (U.S. Access Board) ICT accessibility standards at 36 CFR 1194.1.</w:t>
      </w:r>
    </w:p>
    <w:p w14:paraId="0E98A103" w14:textId="398864D4" w:rsidR="2ECB827F" w:rsidRDefault="2ECB827F" w:rsidP="57100345">
      <w:pPr>
        <w:spacing w:after="150"/>
        <w:rPr>
          <w:rFonts w:eastAsiaTheme="minorEastAsia"/>
          <w:color w:val="000000" w:themeColor="text1"/>
        </w:rPr>
      </w:pPr>
      <w:r w:rsidRPr="57100345">
        <w:rPr>
          <w:rFonts w:eastAsiaTheme="minorEastAsia"/>
          <w:color w:val="000000" w:themeColor="text1"/>
        </w:rPr>
        <w:t xml:space="preserve">(b)For further information on section 508 visit </w:t>
      </w:r>
      <w:hyperlink r:id="rId24">
        <w:r w:rsidRPr="57100345">
          <w:rPr>
            <w:rStyle w:val="Hyperlink"/>
            <w:rFonts w:eastAsiaTheme="minorEastAsia"/>
            <w:color w:val="225895"/>
            <w:u w:val="none"/>
          </w:rPr>
          <w:t>http://www.section508.gov</w:t>
        </w:r>
      </w:hyperlink>
      <w:r w:rsidRPr="57100345">
        <w:rPr>
          <w:rFonts w:eastAsiaTheme="minorEastAsia"/>
          <w:color w:val="000000" w:themeColor="text1"/>
        </w:rPr>
        <w:t>.</w:t>
      </w:r>
    </w:p>
    <w:p w14:paraId="334E2F85" w14:textId="68B1C33A" w:rsidR="2ECB827F" w:rsidRDefault="2ECB827F" w:rsidP="57100345">
      <w:pPr>
        <w:pStyle w:val="Heading4"/>
        <w:spacing w:before="359" w:after="359"/>
        <w:rPr>
          <w:rFonts w:eastAsiaTheme="minorEastAsia" w:cstheme="minorBidi"/>
          <w:b/>
          <w:bCs/>
          <w:i w:val="0"/>
          <w:iCs w:val="0"/>
          <w:color w:val="333333"/>
        </w:rPr>
      </w:pPr>
      <w:r w:rsidRPr="57100345">
        <w:rPr>
          <w:rFonts w:eastAsiaTheme="minorEastAsia" w:cstheme="minorBidi"/>
          <w:b/>
          <w:bCs/>
          <w:i w:val="0"/>
          <w:iCs w:val="0"/>
          <w:color w:val="333333"/>
        </w:rPr>
        <w:t>39.104-2</w:t>
      </w:r>
      <w:r w:rsidR="69E2C970" w:rsidRPr="57100345">
        <w:rPr>
          <w:rFonts w:eastAsiaTheme="minorEastAsia" w:cstheme="minorBidi"/>
          <w:b/>
          <w:bCs/>
          <w:i w:val="0"/>
          <w:iCs w:val="0"/>
          <w:color w:val="333333"/>
        </w:rPr>
        <w:t xml:space="preserve"> </w:t>
      </w:r>
      <w:r w:rsidRPr="57100345">
        <w:rPr>
          <w:rFonts w:eastAsiaTheme="minorEastAsia" w:cstheme="minorBidi"/>
          <w:b/>
          <w:bCs/>
          <w:i w:val="0"/>
          <w:iCs w:val="0"/>
          <w:color w:val="333333"/>
        </w:rPr>
        <w:t>Policy.</w:t>
      </w:r>
    </w:p>
    <w:p w14:paraId="39DE146F" w14:textId="148C3A50" w:rsidR="2ECB827F" w:rsidRDefault="2ECB827F" w:rsidP="57100345">
      <w:pPr>
        <w:spacing w:after="150"/>
        <w:rPr>
          <w:rFonts w:eastAsiaTheme="minorEastAsia"/>
          <w:color w:val="000000" w:themeColor="text1"/>
        </w:rPr>
      </w:pPr>
      <w:r w:rsidRPr="57100345">
        <w:rPr>
          <w:rFonts w:eastAsiaTheme="minorEastAsia"/>
          <w:color w:val="000000" w:themeColor="text1"/>
        </w:rPr>
        <w:t>When acquiring ICT, agencies must ensure that—</w:t>
      </w:r>
    </w:p>
    <w:p w14:paraId="66CAF224" w14:textId="5754A35C" w:rsidR="2ECB827F" w:rsidRDefault="2ECB827F" w:rsidP="57100345">
      <w:pPr>
        <w:spacing w:after="150"/>
        <w:rPr>
          <w:rFonts w:eastAsiaTheme="minorEastAsia"/>
          <w:color w:val="000000" w:themeColor="text1"/>
        </w:rPr>
      </w:pPr>
      <w:r w:rsidRPr="57100345">
        <w:rPr>
          <w:rFonts w:eastAsiaTheme="minorEastAsia"/>
          <w:color w:val="000000" w:themeColor="text1"/>
        </w:rPr>
        <w:t>(a)Federal employees with disabilities have access to and use of information and data that is comparable to the access and use by Federal employees who are not individuals with disabilities; and</w:t>
      </w:r>
    </w:p>
    <w:p w14:paraId="619B3F30" w14:textId="6B263781" w:rsidR="2ECB827F" w:rsidRDefault="2ECB827F" w:rsidP="57100345">
      <w:pPr>
        <w:spacing w:after="150"/>
        <w:rPr>
          <w:rFonts w:eastAsiaTheme="minorEastAsia"/>
          <w:color w:val="000000" w:themeColor="text1"/>
        </w:rPr>
      </w:pPr>
      <w:r w:rsidRPr="57100345">
        <w:rPr>
          <w:rFonts w:eastAsiaTheme="minorEastAsia"/>
          <w:color w:val="000000" w:themeColor="text1"/>
        </w:rPr>
        <w:t>(b)Members of the public with disabilities seeking information or services from an agency have access to and use of information and data that is comparable to the access to and use of information and data by members of the public who are not individuals with disabilities.</w:t>
      </w:r>
    </w:p>
    <w:p w14:paraId="6CD907D1" w14:textId="2F2028DE" w:rsidR="2ECB827F" w:rsidRDefault="2ECB827F" w:rsidP="57100345">
      <w:pPr>
        <w:pStyle w:val="Heading4"/>
        <w:spacing w:before="359" w:after="359"/>
        <w:rPr>
          <w:rFonts w:eastAsiaTheme="minorEastAsia" w:cstheme="minorBidi"/>
          <w:b/>
          <w:bCs/>
          <w:i w:val="0"/>
          <w:iCs w:val="0"/>
          <w:color w:val="333333"/>
        </w:rPr>
      </w:pPr>
      <w:r w:rsidRPr="57100345">
        <w:rPr>
          <w:rFonts w:eastAsiaTheme="minorEastAsia" w:cstheme="minorBidi"/>
          <w:b/>
          <w:bCs/>
          <w:i w:val="0"/>
          <w:iCs w:val="0"/>
          <w:color w:val="333333"/>
        </w:rPr>
        <w:t>39.104-3</w:t>
      </w:r>
      <w:r w:rsidR="51778B80" w:rsidRPr="57100345">
        <w:rPr>
          <w:rFonts w:eastAsiaTheme="minorEastAsia" w:cstheme="minorBidi"/>
          <w:b/>
          <w:bCs/>
          <w:i w:val="0"/>
          <w:iCs w:val="0"/>
          <w:color w:val="333333"/>
        </w:rPr>
        <w:t xml:space="preserve"> </w:t>
      </w:r>
      <w:r w:rsidRPr="57100345">
        <w:rPr>
          <w:rFonts w:eastAsiaTheme="minorEastAsia" w:cstheme="minorBidi"/>
          <w:b/>
          <w:bCs/>
          <w:i w:val="0"/>
          <w:iCs w:val="0"/>
          <w:color w:val="333333"/>
        </w:rPr>
        <w:t>Applicability.</w:t>
      </w:r>
    </w:p>
    <w:p w14:paraId="0F57F455" w14:textId="0F09927E" w:rsidR="2ECB827F" w:rsidRDefault="2ECB827F" w:rsidP="57100345">
      <w:pPr>
        <w:spacing w:after="150"/>
        <w:rPr>
          <w:rFonts w:eastAsiaTheme="minorEastAsia"/>
          <w:color w:val="000000" w:themeColor="text1"/>
        </w:rPr>
      </w:pPr>
      <w:r w:rsidRPr="57100345">
        <w:rPr>
          <w:rFonts w:eastAsiaTheme="minorEastAsia"/>
          <w:color w:val="000000" w:themeColor="text1"/>
        </w:rPr>
        <w:t>(a)</w:t>
      </w:r>
      <w:r w:rsidRPr="57100345">
        <w:rPr>
          <w:rFonts w:eastAsiaTheme="minorEastAsia"/>
          <w:i/>
          <w:iCs/>
          <w:color w:val="000000" w:themeColor="text1"/>
        </w:rPr>
        <w:t>General.</w:t>
      </w:r>
      <w:r w:rsidRPr="57100345">
        <w:rPr>
          <w:rFonts w:eastAsiaTheme="minorEastAsia"/>
          <w:color w:val="000000" w:themeColor="text1"/>
        </w:rPr>
        <w:t xml:space="preserve"> Unless an exception at 39.104-4 or an exemption at 39.104-5 applies, acquisitions for ICT supplies and services must meet the applicable ICT accessibility standards at 36 CFR 1194.1.</w:t>
      </w:r>
    </w:p>
    <w:p w14:paraId="27394BDB" w14:textId="5FD89313" w:rsidR="2ECB827F" w:rsidRDefault="2ECB827F" w:rsidP="57100345">
      <w:pPr>
        <w:spacing w:after="150"/>
        <w:rPr>
          <w:rFonts w:eastAsiaTheme="minorEastAsia"/>
          <w:color w:val="000000" w:themeColor="text1"/>
        </w:rPr>
      </w:pPr>
      <w:r w:rsidRPr="57100345">
        <w:rPr>
          <w:rFonts w:eastAsiaTheme="minorEastAsia"/>
          <w:color w:val="000000" w:themeColor="text1"/>
        </w:rPr>
        <w:lastRenderedPageBreak/>
        <w:t>(b)</w:t>
      </w:r>
      <w:r w:rsidRPr="57100345">
        <w:rPr>
          <w:rFonts w:eastAsiaTheme="minorEastAsia"/>
          <w:i/>
          <w:iCs/>
          <w:color w:val="000000" w:themeColor="text1"/>
        </w:rPr>
        <w:t>Commercial products and commercial services.</w:t>
      </w:r>
      <w:r w:rsidRPr="57100345">
        <w:rPr>
          <w:rFonts w:eastAsiaTheme="minorEastAsia"/>
          <w:color w:val="000000" w:themeColor="text1"/>
        </w:rPr>
        <w:t xml:space="preserve"> When acquiring commercial products and commercial services, an agency must comply with those ICT accessibility standards that can be met with supplies or services that are available in the commercial marketplace and that best address the agency's </w:t>
      </w:r>
      <w:proofErr w:type="gramStart"/>
      <w:r w:rsidRPr="57100345">
        <w:rPr>
          <w:rFonts w:eastAsiaTheme="minorEastAsia"/>
          <w:color w:val="000000" w:themeColor="text1"/>
        </w:rPr>
        <w:t>needs, but</w:t>
      </w:r>
      <w:proofErr w:type="gramEnd"/>
      <w:r w:rsidRPr="57100345">
        <w:rPr>
          <w:rFonts w:eastAsiaTheme="minorEastAsia"/>
          <w:color w:val="000000" w:themeColor="text1"/>
        </w:rPr>
        <w:t xml:space="preserve"> see 39.104-5(a)(3).</w:t>
      </w:r>
    </w:p>
    <w:p w14:paraId="52B26319" w14:textId="65839316" w:rsidR="2ECB827F" w:rsidRDefault="2ECB827F" w:rsidP="57100345">
      <w:pPr>
        <w:spacing w:after="150"/>
        <w:rPr>
          <w:rFonts w:eastAsiaTheme="minorEastAsia"/>
          <w:color w:val="000000" w:themeColor="text1"/>
        </w:rPr>
      </w:pPr>
      <w:r w:rsidRPr="57100345">
        <w:rPr>
          <w:rFonts w:eastAsiaTheme="minorEastAsia"/>
          <w:color w:val="000000" w:themeColor="text1"/>
        </w:rPr>
        <w:t>(c)</w:t>
      </w:r>
      <w:r w:rsidRPr="57100345">
        <w:rPr>
          <w:rFonts w:eastAsiaTheme="minorEastAsia"/>
          <w:i/>
          <w:iCs/>
          <w:color w:val="000000" w:themeColor="text1"/>
        </w:rPr>
        <w:t>Legacy ICT.</w:t>
      </w:r>
      <w:r w:rsidRPr="57100345">
        <w:rPr>
          <w:rFonts w:eastAsiaTheme="minorEastAsia"/>
          <w:color w:val="000000" w:themeColor="text1"/>
        </w:rPr>
        <w:t xml:space="preserve"> Any component or portion of existing ICT (</w:t>
      </w:r>
      <w:r w:rsidRPr="57100345">
        <w:rPr>
          <w:rFonts w:eastAsiaTheme="minorEastAsia"/>
          <w:i/>
          <w:iCs/>
          <w:color w:val="000000" w:themeColor="text1"/>
        </w:rPr>
        <w:t>i.e.,</w:t>
      </w:r>
      <w:r w:rsidRPr="57100345">
        <w:rPr>
          <w:rFonts w:eastAsiaTheme="minorEastAsia"/>
          <w:color w:val="000000" w:themeColor="text1"/>
        </w:rPr>
        <w:t xml:space="preserve"> ICT that was procured, maintained, or used on or before January 18, 2018) is not required to comply with the current ICT accessibility standards if it—</w:t>
      </w:r>
    </w:p>
    <w:p w14:paraId="3DD3479A" w14:textId="0A27CBE1"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1)Complies</w:t>
      </w:r>
      <w:proofErr w:type="gramEnd"/>
      <w:r w:rsidRPr="57100345">
        <w:rPr>
          <w:rFonts w:eastAsiaTheme="minorEastAsia"/>
          <w:color w:val="000000" w:themeColor="text1"/>
        </w:rPr>
        <w:t xml:space="preserve"> with an earlier standard issued according to section 508 of the Rehabilitation Act of 1973 (29 U.S.C. 794d), which is set forth in Appendix D to 36 CFR 1194.1); and</w:t>
      </w:r>
    </w:p>
    <w:p w14:paraId="5761D382" w14:textId="34168485"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2)Has</w:t>
      </w:r>
      <w:proofErr w:type="gramEnd"/>
      <w:r w:rsidRPr="57100345">
        <w:rPr>
          <w:rFonts w:eastAsiaTheme="minorEastAsia"/>
          <w:color w:val="000000" w:themeColor="text1"/>
        </w:rPr>
        <w:t xml:space="preserve"> not been altered (i.e., a change that affects interoperability, the user interface, or access to information or data) after January 18, 2018.</w:t>
      </w:r>
    </w:p>
    <w:p w14:paraId="1739574D" w14:textId="2859AF5D" w:rsidR="2ECB827F" w:rsidRDefault="2ECB827F" w:rsidP="57100345">
      <w:pPr>
        <w:spacing w:after="150"/>
        <w:rPr>
          <w:rFonts w:eastAsiaTheme="minorEastAsia"/>
          <w:color w:val="000000" w:themeColor="text1"/>
        </w:rPr>
      </w:pPr>
      <w:r w:rsidRPr="57100345">
        <w:rPr>
          <w:rFonts w:eastAsiaTheme="minorEastAsia"/>
          <w:color w:val="000000" w:themeColor="text1"/>
        </w:rPr>
        <w:t>(d)</w:t>
      </w:r>
      <w:r w:rsidRPr="57100345">
        <w:rPr>
          <w:rFonts w:eastAsiaTheme="minorEastAsia"/>
          <w:i/>
          <w:iCs/>
          <w:color w:val="000000" w:themeColor="text1"/>
        </w:rPr>
        <w:t>Alterations of legacy ICT.</w:t>
      </w:r>
      <w:r w:rsidRPr="57100345">
        <w:rPr>
          <w:rFonts w:eastAsiaTheme="minorEastAsia"/>
          <w:color w:val="000000" w:themeColor="text1"/>
        </w:rPr>
        <w:t xml:space="preserve"> When altering any component or portion of existing ICT, after January 18, 2018, the component or portion must be modified to conform to the current ICT accessibility standards in 36 CFR 1194.1.</w:t>
      </w:r>
    </w:p>
    <w:p w14:paraId="49E7A65E" w14:textId="24A8F64D" w:rsidR="2ECB827F" w:rsidRDefault="2ECB827F" w:rsidP="57100345">
      <w:pPr>
        <w:pStyle w:val="Heading4"/>
        <w:spacing w:before="359" w:after="359"/>
        <w:rPr>
          <w:rFonts w:eastAsiaTheme="minorEastAsia" w:cstheme="minorBidi"/>
          <w:b/>
          <w:bCs/>
          <w:i w:val="0"/>
          <w:iCs w:val="0"/>
          <w:color w:val="333333"/>
        </w:rPr>
      </w:pPr>
      <w:r w:rsidRPr="57100345">
        <w:rPr>
          <w:rFonts w:eastAsiaTheme="minorEastAsia" w:cstheme="minorBidi"/>
          <w:b/>
          <w:bCs/>
          <w:i w:val="0"/>
          <w:iCs w:val="0"/>
          <w:color w:val="333333"/>
        </w:rPr>
        <w:t>39.104-4</w:t>
      </w:r>
      <w:r w:rsidR="7AC2AF12" w:rsidRPr="57100345">
        <w:rPr>
          <w:rFonts w:eastAsiaTheme="minorEastAsia" w:cstheme="minorBidi"/>
          <w:b/>
          <w:bCs/>
          <w:i w:val="0"/>
          <w:iCs w:val="0"/>
          <w:color w:val="333333"/>
        </w:rPr>
        <w:t xml:space="preserve"> </w:t>
      </w:r>
      <w:r w:rsidRPr="57100345">
        <w:rPr>
          <w:rFonts w:eastAsiaTheme="minorEastAsia" w:cstheme="minorBidi"/>
          <w:b/>
          <w:bCs/>
          <w:i w:val="0"/>
          <w:iCs w:val="0"/>
          <w:color w:val="333333"/>
        </w:rPr>
        <w:t>Exceptions.</w:t>
      </w:r>
    </w:p>
    <w:p w14:paraId="40166450" w14:textId="2CC26DB6" w:rsidR="2ECB827F" w:rsidRDefault="2ECB827F" w:rsidP="57100345">
      <w:pPr>
        <w:spacing w:after="150"/>
        <w:rPr>
          <w:rFonts w:eastAsiaTheme="minorEastAsia"/>
          <w:color w:val="000000" w:themeColor="text1"/>
        </w:rPr>
      </w:pPr>
      <w:r w:rsidRPr="57100345">
        <w:rPr>
          <w:rFonts w:eastAsiaTheme="minorEastAsia"/>
          <w:color w:val="000000" w:themeColor="text1"/>
        </w:rPr>
        <w:t>(a)The requirements in 39.104-2 do not apply to acquisitions for—</w:t>
      </w:r>
    </w:p>
    <w:p w14:paraId="05A64799" w14:textId="17152B46"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1)</w:t>
      </w:r>
      <w:r w:rsidRPr="57100345">
        <w:rPr>
          <w:rFonts w:eastAsiaTheme="minorEastAsia"/>
          <w:i/>
          <w:iCs/>
          <w:color w:val="000000" w:themeColor="text1"/>
        </w:rPr>
        <w:t>National</w:t>
      </w:r>
      <w:proofErr w:type="gramEnd"/>
      <w:r w:rsidRPr="57100345">
        <w:rPr>
          <w:rFonts w:eastAsiaTheme="minorEastAsia"/>
          <w:i/>
          <w:iCs/>
          <w:color w:val="000000" w:themeColor="text1"/>
        </w:rPr>
        <w:t xml:space="preserve"> security systems.</w:t>
      </w:r>
      <w:r w:rsidRPr="57100345">
        <w:rPr>
          <w:rFonts w:eastAsiaTheme="minorEastAsia"/>
          <w:color w:val="000000" w:themeColor="text1"/>
        </w:rPr>
        <w:t xml:space="preserve"> ICT operated by agencies as part of a national security system, as defined by 40 U.S.C. </w:t>
      </w:r>
      <w:proofErr w:type="gramStart"/>
      <w:r w:rsidRPr="57100345">
        <w:rPr>
          <w:rFonts w:eastAsiaTheme="minorEastAsia"/>
          <w:color w:val="000000" w:themeColor="text1"/>
        </w:rPr>
        <w:t>11103(a);</w:t>
      </w:r>
      <w:proofErr w:type="gramEnd"/>
    </w:p>
    <w:p w14:paraId="3D8C13E4" w14:textId="4DEA2C8C"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w:t>
      </w:r>
      <w:r w:rsidRPr="57100345">
        <w:rPr>
          <w:rFonts w:eastAsiaTheme="minorEastAsia"/>
          <w:i/>
          <w:iCs/>
          <w:color w:val="000000" w:themeColor="text1"/>
        </w:rPr>
        <w:t>Incidental</w:t>
      </w:r>
      <w:proofErr w:type="gramEnd"/>
      <w:r w:rsidRPr="57100345">
        <w:rPr>
          <w:rFonts w:eastAsiaTheme="minorEastAsia"/>
          <w:i/>
          <w:iCs/>
          <w:color w:val="000000" w:themeColor="text1"/>
        </w:rPr>
        <w:t xml:space="preserve"> contract items.</w:t>
      </w:r>
      <w:r w:rsidRPr="57100345">
        <w:rPr>
          <w:rFonts w:eastAsiaTheme="minorEastAsia"/>
          <w:color w:val="000000" w:themeColor="text1"/>
        </w:rPr>
        <w:t xml:space="preserve"> ICT acquired by a contractor incidental to a contract, </w:t>
      </w:r>
      <w:r w:rsidRPr="57100345">
        <w:rPr>
          <w:rFonts w:eastAsiaTheme="minorEastAsia"/>
          <w:i/>
          <w:iCs/>
          <w:color w:val="000000" w:themeColor="text1"/>
        </w:rPr>
        <w:t>i.e.,</w:t>
      </w:r>
      <w:r w:rsidRPr="57100345">
        <w:rPr>
          <w:rFonts w:eastAsiaTheme="minorEastAsia"/>
          <w:color w:val="000000" w:themeColor="text1"/>
        </w:rPr>
        <w:t xml:space="preserve"> for in-house use by the contractor to perform the contract; or</w:t>
      </w:r>
    </w:p>
    <w:p w14:paraId="4F03B23C" w14:textId="7B2932D6"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3)</w:t>
      </w:r>
      <w:r w:rsidRPr="57100345">
        <w:rPr>
          <w:rFonts w:eastAsiaTheme="minorEastAsia"/>
          <w:i/>
          <w:iCs/>
          <w:color w:val="000000" w:themeColor="text1"/>
        </w:rPr>
        <w:t>Maintenance</w:t>
      </w:r>
      <w:proofErr w:type="gramEnd"/>
      <w:r w:rsidRPr="57100345">
        <w:rPr>
          <w:rFonts w:eastAsiaTheme="minorEastAsia"/>
          <w:i/>
          <w:iCs/>
          <w:color w:val="000000" w:themeColor="text1"/>
        </w:rPr>
        <w:t xml:space="preserve"> or monitoring spaces.</w:t>
      </w:r>
      <w:r w:rsidRPr="57100345">
        <w:rPr>
          <w:rFonts w:eastAsiaTheme="minorEastAsia"/>
          <w:color w:val="000000" w:themeColor="text1"/>
        </w:rPr>
        <w:t xml:space="preserve"> The portions of ICT that are operable parts (</w:t>
      </w:r>
      <w:r w:rsidRPr="57100345">
        <w:rPr>
          <w:rFonts w:eastAsiaTheme="minorEastAsia"/>
          <w:i/>
          <w:iCs/>
          <w:color w:val="000000" w:themeColor="text1"/>
        </w:rPr>
        <w:t>i.e.,</w:t>
      </w:r>
      <w:r w:rsidRPr="57100345">
        <w:rPr>
          <w:rFonts w:eastAsiaTheme="minorEastAsia"/>
          <w:color w:val="000000" w:themeColor="text1"/>
        </w:rPr>
        <w:t xml:space="preserve"> hardware-based user controls for activating, deactivating, or adjusting ICT) or status indicators, and that </w:t>
      </w:r>
      <w:proofErr w:type="gramStart"/>
      <w:r w:rsidRPr="57100345">
        <w:rPr>
          <w:rFonts w:eastAsiaTheme="minorEastAsia"/>
          <w:color w:val="000000" w:themeColor="text1"/>
        </w:rPr>
        <w:t>are located in</w:t>
      </w:r>
      <w:proofErr w:type="gramEnd"/>
      <w:r w:rsidRPr="57100345">
        <w:rPr>
          <w:rFonts w:eastAsiaTheme="minorEastAsia"/>
          <w:color w:val="000000" w:themeColor="text1"/>
        </w:rPr>
        <w:t xml:space="preserve"> spaces frequented only by service personnel for maintenance, repair, or occasional monitoring of equipment.</w:t>
      </w:r>
    </w:p>
    <w:p w14:paraId="708A7984" w14:textId="28359142" w:rsidR="2ECB827F" w:rsidRDefault="2ECB827F" w:rsidP="57100345">
      <w:pPr>
        <w:spacing w:after="150"/>
        <w:rPr>
          <w:rFonts w:eastAsiaTheme="minorEastAsia"/>
          <w:color w:val="000000" w:themeColor="text1"/>
        </w:rPr>
      </w:pPr>
      <w:r w:rsidRPr="57100345">
        <w:rPr>
          <w:rFonts w:eastAsiaTheme="minorEastAsia"/>
          <w:color w:val="000000" w:themeColor="text1"/>
        </w:rPr>
        <w:t>(b)The contracting officer must receive, as a part of the requirements documentation, written confirmation from the requiring activity that an exception, in accordance with paragraph (a)(1), (2), or (3) of this section, applies to the ICT supply or service (see 7.105(b)(5)(iv)). This documentation must be maintained in the contract file.</w:t>
      </w:r>
    </w:p>
    <w:p w14:paraId="38275DAE" w14:textId="692EB7C6" w:rsidR="2ECB827F" w:rsidRDefault="2ECB827F" w:rsidP="57100345">
      <w:pPr>
        <w:pStyle w:val="Heading4"/>
        <w:spacing w:before="359" w:after="359"/>
        <w:rPr>
          <w:rFonts w:eastAsiaTheme="minorEastAsia" w:cstheme="minorBidi"/>
          <w:b/>
          <w:bCs/>
          <w:i w:val="0"/>
          <w:iCs w:val="0"/>
          <w:color w:val="333333"/>
        </w:rPr>
      </w:pPr>
      <w:r w:rsidRPr="57100345">
        <w:rPr>
          <w:rFonts w:eastAsiaTheme="minorEastAsia" w:cstheme="minorBidi"/>
          <w:b/>
          <w:bCs/>
          <w:i w:val="0"/>
          <w:iCs w:val="0"/>
          <w:color w:val="333333"/>
        </w:rPr>
        <w:t>39.104-5</w:t>
      </w:r>
      <w:r w:rsidR="4814082F" w:rsidRPr="57100345">
        <w:rPr>
          <w:rFonts w:eastAsiaTheme="minorEastAsia" w:cstheme="minorBidi"/>
          <w:b/>
          <w:bCs/>
          <w:i w:val="0"/>
          <w:iCs w:val="0"/>
          <w:color w:val="333333"/>
        </w:rPr>
        <w:t xml:space="preserve"> </w:t>
      </w:r>
      <w:r w:rsidRPr="57100345">
        <w:rPr>
          <w:rFonts w:eastAsiaTheme="minorEastAsia" w:cstheme="minorBidi"/>
          <w:b/>
          <w:bCs/>
          <w:i w:val="0"/>
          <w:iCs w:val="0"/>
          <w:color w:val="333333"/>
        </w:rPr>
        <w:t>Exemptions.</w:t>
      </w:r>
    </w:p>
    <w:p w14:paraId="47495201" w14:textId="1ED3519E" w:rsidR="2ECB827F" w:rsidRDefault="2ECB827F" w:rsidP="57100345">
      <w:pPr>
        <w:spacing w:after="150"/>
        <w:rPr>
          <w:rFonts w:eastAsiaTheme="minorEastAsia"/>
          <w:color w:val="000000" w:themeColor="text1"/>
        </w:rPr>
      </w:pPr>
      <w:r w:rsidRPr="57100345">
        <w:rPr>
          <w:rFonts w:eastAsiaTheme="minorEastAsia"/>
          <w:color w:val="000000" w:themeColor="text1"/>
        </w:rPr>
        <w:t>(a)Allowable exemptions. An agency may grant an exemption for the following:</w:t>
      </w:r>
    </w:p>
    <w:p w14:paraId="1C04A34F" w14:textId="77AC48DF" w:rsidR="2ECB827F" w:rsidRDefault="2ECB827F" w:rsidP="57100345">
      <w:pPr>
        <w:spacing w:after="150"/>
        <w:rPr>
          <w:rFonts w:eastAsiaTheme="minorEastAsia"/>
          <w:color w:val="000000" w:themeColor="text1"/>
        </w:rPr>
      </w:pPr>
      <w:r w:rsidRPr="57100345">
        <w:rPr>
          <w:rFonts w:eastAsiaTheme="minorEastAsia"/>
          <w:color w:val="000000" w:themeColor="text1"/>
        </w:rPr>
        <w:lastRenderedPageBreak/>
        <w:t>(</w:t>
      </w:r>
      <w:proofErr w:type="gramStart"/>
      <w:r w:rsidRPr="57100345">
        <w:rPr>
          <w:rFonts w:eastAsiaTheme="minorEastAsia"/>
          <w:color w:val="000000" w:themeColor="text1"/>
        </w:rPr>
        <w:t>1)</w:t>
      </w:r>
      <w:r w:rsidRPr="57100345">
        <w:rPr>
          <w:rFonts w:eastAsiaTheme="minorEastAsia"/>
          <w:i/>
          <w:iCs/>
          <w:color w:val="000000" w:themeColor="text1"/>
        </w:rPr>
        <w:t>Undue</w:t>
      </w:r>
      <w:proofErr w:type="gramEnd"/>
      <w:r w:rsidRPr="57100345">
        <w:rPr>
          <w:rFonts w:eastAsiaTheme="minorEastAsia"/>
          <w:i/>
          <w:iCs/>
          <w:color w:val="000000" w:themeColor="text1"/>
        </w:rPr>
        <w:t xml:space="preserve"> burden.</w:t>
      </w:r>
      <w:r w:rsidRPr="57100345">
        <w:rPr>
          <w:rFonts w:eastAsiaTheme="minorEastAsia"/>
          <w:color w:val="000000" w:themeColor="text1"/>
        </w:rPr>
        <w:t xml:space="preserve"> When an agency determines the acquisition of ICT conforming with all the applicable ICT accessibility standards would impose an undue burden on the agency, compliance with the ICT accessibility standards is only required to the extent that it would not impose an undue burden. In determining whether conformance to one or more ICT accessibility standards would impose an undue burden, an agency must consider the extent to which conformance would impose significant difficulty or expense considering the agency resources available to the program or component for which the ICT supply or service is being procured.</w:t>
      </w:r>
    </w:p>
    <w:p w14:paraId="560D453A" w14:textId="3B16C71E"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w:t>
      </w:r>
      <w:r w:rsidRPr="57100345">
        <w:rPr>
          <w:rFonts w:eastAsiaTheme="minorEastAsia"/>
          <w:i/>
          <w:iCs/>
          <w:color w:val="000000" w:themeColor="text1"/>
        </w:rPr>
        <w:t>Fundamental</w:t>
      </w:r>
      <w:proofErr w:type="gramEnd"/>
      <w:r w:rsidRPr="57100345">
        <w:rPr>
          <w:rFonts w:eastAsiaTheme="minorEastAsia"/>
          <w:i/>
          <w:iCs/>
          <w:color w:val="000000" w:themeColor="text1"/>
        </w:rPr>
        <w:t xml:space="preserve"> alteration.</w:t>
      </w:r>
      <w:r w:rsidRPr="57100345">
        <w:rPr>
          <w:rFonts w:eastAsiaTheme="minorEastAsia"/>
          <w:color w:val="000000" w:themeColor="text1"/>
        </w:rPr>
        <w:t xml:space="preserve"> When an agency determines that </w:t>
      </w:r>
      <w:proofErr w:type="gramStart"/>
      <w:r w:rsidRPr="57100345">
        <w:rPr>
          <w:rFonts w:eastAsiaTheme="minorEastAsia"/>
          <w:color w:val="000000" w:themeColor="text1"/>
        </w:rPr>
        <w:t>acquisition</w:t>
      </w:r>
      <w:proofErr w:type="gramEnd"/>
      <w:r w:rsidRPr="57100345">
        <w:rPr>
          <w:rFonts w:eastAsiaTheme="minorEastAsia"/>
          <w:color w:val="000000" w:themeColor="text1"/>
        </w:rPr>
        <w:t xml:space="preserve"> of ICT that conforms with all applicable ICT accessibility standards would result in a fundamental alteration in the nature of the ICT, such acquisition is required to conform only to the extent that conformance will not fundamentally alter the nature of the ICT.</w:t>
      </w:r>
    </w:p>
    <w:p w14:paraId="40DF58FA" w14:textId="14A66FE9"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3)</w:t>
      </w:r>
      <w:r w:rsidRPr="57100345">
        <w:rPr>
          <w:rFonts w:eastAsiaTheme="minorEastAsia"/>
          <w:i/>
          <w:iCs/>
          <w:color w:val="000000" w:themeColor="text1"/>
        </w:rPr>
        <w:t>Nonavailability</w:t>
      </w:r>
      <w:proofErr w:type="gramEnd"/>
      <w:r w:rsidRPr="57100345">
        <w:rPr>
          <w:rFonts w:eastAsiaTheme="minorEastAsia"/>
          <w:i/>
          <w:iCs/>
          <w:color w:val="000000" w:themeColor="text1"/>
        </w:rPr>
        <w:t xml:space="preserve"> of conforming commercial products and commercial services.</w:t>
      </w:r>
      <w:r w:rsidRPr="57100345">
        <w:rPr>
          <w:rFonts w:eastAsiaTheme="minorEastAsia"/>
          <w:color w:val="000000" w:themeColor="text1"/>
        </w:rPr>
        <w:t xml:space="preserve"> Where there are no commercial products and commercial services that fully conform to the ICT accessibility standards, the agency must procure the supplies or service available in the commercial marketplace that best meets the ICT accessibility standards consistent with the agency's needs.</w:t>
      </w:r>
    </w:p>
    <w:p w14:paraId="546A6A40" w14:textId="6D53EB1B" w:rsidR="2ECB827F" w:rsidRDefault="2ECB827F" w:rsidP="57100345">
      <w:pPr>
        <w:spacing w:after="150"/>
        <w:rPr>
          <w:rFonts w:eastAsiaTheme="minorEastAsia"/>
          <w:color w:val="000000" w:themeColor="text1"/>
        </w:rPr>
      </w:pPr>
      <w:r w:rsidRPr="57100345">
        <w:rPr>
          <w:rFonts w:eastAsiaTheme="minorEastAsia"/>
          <w:color w:val="000000" w:themeColor="text1"/>
        </w:rPr>
        <w:t>(b)</w:t>
      </w:r>
      <w:r w:rsidRPr="57100345">
        <w:rPr>
          <w:rFonts w:eastAsiaTheme="minorEastAsia"/>
          <w:i/>
          <w:iCs/>
          <w:color w:val="000000" w:themeColor="text1"/>
        </w:rPr>
        <w:t>Alternative means of access.</w:t>
      </w:r>
      <w:r w:rsidRPr="57100345">
        <w:rPr>
          <w:rFonts w:eastAsiaTheme="minorEastAsia"/>
          <w:color w:val="000000" w:themeColor="text1"/>
        </w:rPr>
        <w:t xml:space="preserve"> An agency must provide individuals with </w:t>
      </w:r>
      <w:proofErr w:type="gramStart"/>
      <w:r w:rsidRPr="57100345">
        <w:rPr>
          <w:rFonts w:eastAsiaTheme="minorEastAsia"/>
          <w:color w:val="000000" w:themeColor="text1"/>
        </w:rPr>
        <w:t>disabilities</w:t>
      </w:r>
      <w:proofErr w:type="gramEnd"/>
      <w:r w:rsidRPr="57100345">
        <w:rPr>
          <w:rFonts w:eastAsiaTheme="minorEastAsia"/>
          <w:color w:val="000000" w:themeColor="text1"/>
        </w:rPr>
        <w:t xml:space="preserve"> access to and use of information and data by an alternative means to meet the identified needs when an exemption in paragraphs (a)(1), (2), or (3) of this section applies.</w:t>
      </w:r>
    </w:p>
    <w:p w14:paraId="5AF9DB73" w14:textId="6F70B3BF" w:rsidR="2ECB827F" w:rsidRDefault="2ECB827F" w:rsidP="57100345">
      <w:pPr>
        <w:spacing w:after="150"/>
        <w:rPr>
          <w:rFonts w:eastAsiaTheme="minorEastAsia"/>
          <w:color w:val="000000" w:themeColor="text1"/>
        </w:rPr>
      </w:pPr>
      <w:r w:rsidRPr="57100345">
        <w:rPr>
          <w:rFonts w:eastAsiaTheme="minorEastAsia"/>
          <w:color w:val="000000" w:themeColor="text1"/>
        </w:rPr>
        <w:t>(c)</w:t>
      </w:r>
      <w:r w:rsidRPr="57100345">
        <w:rPr>
          <w:rFonts w:eastAsiaTheme="minorEastAsia"/>
          <w:i/>
          <w:iCs/>
          <w:color w:val="000000" w:themeColor="text1"/>
        </w:rPr>
        <w:t>Documentation.</w:t>
      </w:r>
      <w:r w:rsidRPr="57100345">
        <w:rPr>
          <w:rFonts w:eastAsiaTheme="minorEastAsia"/>
          <w:color w:val="000000" w:themeColor="text1"/>
        </w:rPr>
        <w:t xml:space="preserve"> When an exemption applies, the contracting officer must obtain, as part of the requirements documentation, a written determination from the requiring activity explaining the basis for the exemption in paragraphs (a)(1), (2) or (3) of this section. Maintain this documentation in the contract file.</w:t>
      </w:r>
    </w:p>
    <w:p w14:paraId="6FAC09D2" w14:textId="34E31DA7"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1)</w:t>
      </w:r>
      <w:r w:rsidRPr="57100345">
        <w:rPr>
          <w:rFonts w:eastAsiaTheme="minorEastAsia"/>
          <w:i/>
          <w:iCs/>
          <w:color w:val="000000" w:themeColor="text1"/>
        </w:rPr>
        <w:t>Undue</w:t>
      </w:r>
      <w:proofErr w:type="gramEnd"/>
      <w:r w:rsidRPr="57100345">
        <w:rPr>
          <w:rFonts w:eastAsiaTheme="minorEastAsia"/>
          <w:i/>
          <w:iCs/>
          <w:color w:val="000000" w:themeColor="text1"/>
        </w:rPr>
        <w:t xml:space="preserve"> burden.</w:t>
      </w:r>
      <w:r w:rsidRPr="57100345">
        <w:rPr>
          <w:rFonts w:eastAsiaTheme="minorEastAsia"/>
          <w:color w:val="000000" w:themeColor="text1"/>
        </w:rPr>
        <w:t xml:space="preserve"> A determination of undue burden must address why and to what extent compliance with applicable ICT accessibility standards constitutes an undue burden.</w:t>
      </w:r>
    </w:p>
    <w:p w14:paraId="0A364AC6" w14:textId="4AA53A47"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2)</w:t>
      </w:r>
      <w:r w:rsidRPr="57100345">
        <w:rPr>
          <w:rFonts w:eastAsiaTheme="minorEastAsia"/>
          <w:i/>
          <w:iCs/>
          <w:color w:val="000000" w:themeColor="text1"/>
        </w:rPr>
        <w:t>Fundamental</w:t>
      </w:r>
      <w:proofErr w:type="gramEnd"/>
      <w:r w:rsidRPr="57100345">
        <w:rPr>
          <w:rFonts w:eastAsiaTheme="minorEastAsia"/>
          <w:i/>
          <w:iCs/>
          <w:color w:val="000000" w:themeColor="text1"/>
        </w:rPr>
        <w:t xml:space="preserve"> alteration.</w:t>
      </w:r>
      <w:r w:rsidRPr="57100345">
        <w:rPr>
          <w:rFonts w:eastAsiaTheme="minorEastAsia"/>
          <w:color w:val="000000" w:themeColor="text1"/>
        </w:rPr>
        <w:t xml:space="preserve"> A determination of fundamental alteration must address the extent to which compliance with the applicable ICT accessibility standards would fundamentally alter the nature of the ICT.</w:t>
      </w:r>
    </w:p>
    <w:p w14:paraId="1927E93F" w14:textId="0A78007F"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gramStart"/>
      <w:r w:rsidRPr="57100345">
        <w:rPr>
          <w:rFonts w:eastAsiaTheme="minorEastAsia"/>
          <w:color w:val="000000" w:themeColor="text1"/>
        </w:rPr>
        <w:t>3)</w:t>
      </w:r>
      <w:r w:rsidRPr="57100345">
        <w:rPr>
          <w:rFonts w:eastAsiaTheme="minorEastAsia"/>
          <w:i/>
          <w:iCs/>
          <w:color w:val="000000" w:themeColor="text1"/>
        </w:rPr>
        <w:t>Nonavailability</w:t>
      </w:r>
      <w:proofErr w:type="gramEnd"/>
      <w:r w:rsidRPr="57100345">
        <w:rPr>
          <w:rFonts w:eastAsiaTheme="minorEastAsia"/>
          <w:i/>
          <w:iCs/>
          <w:color w:val="000000" w:themeColor="text1"/>
        </w:rPr>
        <w:t xml:space="preserve"> of conforming commercial products and commercial services.</w:t>
      </w:r>
      <w:r w:rsidRPr="57100345">
        <w:rPr>
          <w:rFonts w:eastAsiaTheme="minorEastAsia"/>
          <w:color w:val="000000" w:themeColor="text1"/>
        </w:rPr>
        <w:t xml:space="preserve"> A determination of commercial products and commercial services nonavailability must include—</w:t>
      </w:r>
    </w:p>
    <w:p w14:paraId="1004E218" w14:textId="595EF489" w:rsidR="2ECB827F" w:rsidRDefault="2ECB827F" w:rsidP="57100345">
      <w:pPr>
        <w:spacing w:after="150"/>
        <w:rPr>
          <w:rFonts w:eastAsiaTheme="minorEastAsia"/>
          <w:color w:val="000000" w:themeColor="text1"/>
        </w:rPr>
      </w:pPr>
      <w:r w:rsidRPr="57100345">
        <w:rPr>
          <w:rFonts w:eastAsiaTheme="minorEastAsia"/>
          <w:color w:val="000000" w:themeColor="text1"/>
        </w:rPr>
        <w:t>(</w:t>
      </w:r>
      <w:proofErr w:type="spellStart"/>
      <w:r w:rsidRPr="57100345">
        <w:rPr>
          <w:rFonts w:eastAsiaTheme="minorEastAsia"/>
          <w:color w:val="000000" w:themeColor="text1"/>
        </w:rPr>
        <w:t>i</w:t>
      </w:r>
      <w:proofErr w:type="spellEnd"/>
      <w:r w:rsidRPr="57100345">
        <w:rPr>
          <w:rFonts w:eastAsiaTheme="minorEastAsia"/>
          <w:color w:val="000000" w:themeColor="text1"/>
        </w:rPr>
        <w:t xml:space="preserve">)A description of the market research </w:t>
      </w:r>
      <w:proofErr w:type="gramStart"/>
      <w:r w:rsidRPr="57100345">
        <w:rPr>
          <w:rFonts w:eastAsiaTheme="minorEastAsia"/>
          <w:color w:val="000000" w:themeColor="text1"/>
        </w:rPr>
        <w:t>performed;</w:t>
      </w:r>
      <w:proofErr w:type="gramEnd"/>
    </w:p>
    <w:p w14:paraId="4C209BFF" w14:textId="0B6BD758" w:rsidR="2ECB827F" w:rsidRDefault="2ECB827F" w:rsidP="57100345">
      <w:pPr>
        <w:spacing w:after="150"/>
        <w:rPr>
          <w:rFonts w:eastAsiaTheme="minorEastAsia"/>
          <w:color w:val="000000" w:themeColor="text1"/>
        </w:rPr>
      </w:pPr>
      <w:r w:rsidRPr="57100345">
        <w:rPr>
          <w:rFonts w:eastAsiaTheme="minorEastAsia"/>
          <w:color w:val="000000" w:themeColor="text1"/>
        </w:rPr>
        <w:t>(ii)A listing of the requirements that cannot be met; and</w:t>
      </w:r>
    </w:p>
    <w:p w14:paraId="72A5300F" w14:textId="7BF623F3" w:rsidR="2ECB827F" w:rsidRDefault="2ECB827F" w:rsidP="57100345">
      <w:pPr>
        <w:spacing w:after="150"/>
        <w:rPr>
          <w:rFonts w:eastAsiaTheme="minorEastAsia"/>
          <w:color w:val="000000" w:themeColor="text1"/>
        </w:rPr>
      </w:pPr>
      <w:r w:rsidRPr="57100345">
        <w:rPr>
          <w:rFonts w:eastAsiaTheme="minorEastAsia"/>
          <w:color w:val="000000" w:themeColor="text1"/>
        </w:rPr>
        <w:t>(iii)The rationale for determining that the ICT to be procured best meets the ICT accessibility standards in 36 CFR 1194.1, consistent with the agency's needs.</w:t>
      </w:r>
    </w:p>
    <w:p w14:paraId="3B400081" w14:textId="1497A31D" w:rsidR="2ECB827F" w:rsidRDefault="2ECB827F" w:rsidP="57100345">
      <w:pPr>
        <w:pStyle w:val="Heading2"/>
        <w:spacing w:before="300" w:after="15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lastRenderedPageBreak/>
        <w:t>Subpart 39.2- Evaluation and Award</w:t>
      </w:r>
    </w:p>
    <w:p w14:paraId="006C2AA3" w14:textId="1E89F9B3"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39.201ICT accessibility standards for indefinite-quantity contracts.</w:t>
      </w:r>
    </w:p>
    <w:p w14:paraId="583D5F1B" w14:textId="581B2BD4" w:rsidR="2ECB827F" w:rsidRDefault="2ECB827F" w:rsidP="57100345">
      <w:pPr>
        <w:spacing w:after="150"/>
        <w:rPr>
          <w:rFonts w:eastAsiaTheme="minorEastAsia"/>
          <w:color w:val="000000" w:themeColor="text1"/>
        </w:rPr>
      </w:pPr>
      <w:r w:rsidRPr="57100345">
        <w:rPr>
          <w:rFonts w:eastAsiaTheme="minorEastAsia"/>
          <w:color w:val="000000" w:themeColor="text1"/>
        </w:rPr>
        <w:t>(a)Confirming an exception (see 39.104-4) or determining an exemption (see 39.104-5) is not required before awarding of an indefinite-quantity contract, except for requirements that the initial award is to satisfy.</w:t>
      </w:r>
    </w:p>
    <w:p w14:paraId="71105CA5" w14:textId="7D32E213" w:rsidR="2ECB827F" w:rsidRDefault="2ECB827F" w:rsidP="57100345">
      <w:pPr>
        <w:spacing w:after="150"/>
        <w:rPr>
          <w:rFonts w:eastAsiaTheme="minorEastAsia"/>
          <w:color w:val="000000" w:themeColor="text1"/>
        </w:rPr>
      </w:pPr>
      <w:r w:rsidRPr="57100345">
        <w:rPr>
          <w:rFonts w:eastAsiaTheme="minorEastAsia"/>
          <w:color w:val="000000" w:themeColor="text1"/>
        </w:rPr>
        <w:t>(b)The contract must identify which supplies and services the contractor indicates as compliant and show where to find full details of compliance (e.g., a contractor may provide a link to a vendor’s website identifying supplies or services that are fully compliant with ICT accessibility standards.</w:t>
      </w:r>
    </w:p>
    <w:p w14:paraId="3668AB89" w14:textId="361F0E7D" w:rsidR="2ECB827F" w:rsidRDefault="2ECB827F" w:rsidP="57100345">
      <w:pPr>
        <w:pStyle w:val="Heading2"/>
        <w:spacing w:before="300" w:after="150"/>
        <w:rPr>
          <w:rFonts w:asciiTheme="minorHAnsi" w:eastAsiaTheme="minorEastAsia" w:hAnsiTheme="minorHAnsi" w:cstheme="minorBidi"/>
          <w:b/>
          <w:bCs/>
          <w:color w:val="333333"/>
          <w:sz w:val="24"/>
          <w:szCs w:val="24"/>
        </w:rPr>
      </w:pPr>
      <w:r w:rsidRPr="57100345">
        <w:rPr>
          <w:rFonts w:asciiTheme="minorHAnsi" w:eastAsiaTheme="minorEastAsia" w:hAnsiTheme="minorHAnsi" w:cstheme="minorBidi"/>
          <w:b/>
          <w:bCs/>
          <w:color w:val="333333"/>
          <w:sz w:val="24"/>
          <w:szCs w:val="24"/>
        </w:rPr>
        <w:t xml:space="preserve">Subpart 39.3- </w:t>
      </w:r>
      <w:proofErr w:type="spellStart"/>
      <w:r w:rsidRPr="57100345">
        <w:rPr>
          <w:rFonts w:asciiTheme="minorHAnsi" w:eastAsiaTheme="minorEastAsia" w:hAnsiTheme="minorHAnsi" w:cstheme="minorBidi"/>
          <w:b/>
          <w:bCs/>
          <w:color w:val="333333"/>
          <w:sz w:val="24"/>
          <w:szCs w:val="24"/>
        </w:rPr>
        <w:t>Postaward</w:t>
      </w:r>
      <w:proofErr w:type="spellEnd"/>
    </w:p>
    <w:p w14:paraId="0C27261C" w14:textId="4B2C009F" w:rsidR="2ECB827F" w:rsidRDefault="2ECB827F" w:rsidP="57100345">
      <w:pPr>
        <w:pStyle w:val="Heading3"/>
        <w:spacing w:before="300" w:after="150"/>
        <w:rPr>
          <w:rFonts w:eastAsiaTheme="minorEastAsia" w:cstheme="minorBidi"/>
          <w:color w:val="333333"/>
          <w:sz w:val="24"/>
          <w:szCs w:val="24"/>
        </w:rPr>
      </w:pPr>
      <w:r w:rsidRPr="57100345">
        <w:rPr>
          <w:rFonts w:eastAsiaTheme="minorEastAsia" w:cstheme="minorBidi"/>
          <w:color w:val="333333"/>
          <w:sz w:val="24"/>
          <w:szCs w:val="24"/>
        </w:rPr>
        <w:t>39.301ICT accessibility standards for task orders or delivery orders.</w:t>
      </w:r>
    </w:p>
    <w:p w14:paraId="47ECB4CC" w14:textId="7F1BF1DA" w:rsidR="2ECB827F" w:rsidRDefault="2ECB827F" w:rsidP="57100345">
      <w:pPr>
        <w:spacing w:after="150"/>
        <w:rPr>
          <w:rFonts w:eastAsiaTheme="minorEastAsia"/>
          <w:color w:val="000000" w:themeColor="text1"/>
        </w:rPr>
      </w:pPr>
      <w:r w:rsidRPr="57100345">
        <w:rPr>
          <w:rFonts w:eastAsiaTheme="minorEastAsia"/>
          <w:color w:val="000000" w:themeColor="text1"/>
        </w:rPr>
        <w:t>When issuing a task order or delivery order under an indefinite-quantity contract, the requiring activity and ordering activity must ensure compliance with the ICT accessibility standards. For a noncompliant ICT item, the requiring activity must document an exception (see 39.104-5) or exemption (see 39.104-5).</w:t>
      </w:r>
    </w:p>
    <w:p w14:paraId="00B70194" w14:textId="53A2A4A3" w:rsidR="52C257AB" w:rsidRDefault="52C257AB" w:rsidP="52C257AB">
      <w:pPr>
        <w:rPr>
          <w:rFonts w:eastAsiaTheme="minorEastAsia"/>
          <w:b/>
          <w:bCs/>
        </w:rPr>
      </w:pPr>
    </w:p>
    <w:sectPr w:rsidR="52C257AB" w:rsidSect="00CB657D">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91C46" w14:textId="77777777" w:rsidR="00C920F1" w:rsidRDefault="00C920F1" w:rsidP="00CB657D">
      <w:pPr>
        <w:spacing w:after="0" w:line="240" w:lineRule="auto"/>
      </w:pPr>
      <w:r>
        <w:separator/>
      </w:r>
    </w:p>
  </w:endnote>
  <w:endnote w:type="continuationSeparator" w:id="0">
    <w:p w14:paraId="58BFF8CF" w14:textId="77777777" w:rsidR="00C920F1" w:rsidRDefault="00C920F1" w:rsidP="00CB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514147"/>
      <w:docPartObj>
        <w:docPartGallery w:val="Page Numbers (Bottom of Page)"/>
        <w:docPartUnique/>
      </w:docPartObj>
    </w:sdtPr>
    <w:sdtEndPr>
      <w:rPr>
        <w:noProof/>
      </w:rPr>
    </w:sdtEndPr>
    <w:sdtContent>
      <w:p w14:paraId="1E442B85" w14:textId="7AC036F3" w:rsidR="00CB657D" w:rsidRDefault="00CB6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8D892" w14:textId="77777777" w:rsidR="00CB657D" w:rsidRDefault="00CB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C1144" w14:textId="77777777" w:rsidR="00C920F1" w:rsidRDefault="00C920F1" w:rsidP="00CB657D">
      <w:pPr>
        <w:spacing w:after="0" w:line="240" w:lineRule="auto"/>
      </w:pPr>
      <w:r>
        <w:separator/>
      </w:r>
    </w:p>
  </w:footnote>
  <w:footnote w:type="continuationSeparator" w:id="0">
    <w:p w14:paraId="5CC9C9D1" w14:textId="77777777" w:rsidR="00C920F1" w:rsidRDefault="00C920F1" w:rsidP="00CB6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28"/>
    <w:rsid w:val="00211ABA"/>
    <w:rsid w:val="003D5C23"/>
    <w:rsid w:val="003F08D2"/>
    <w:rsid w:val="004150B0"/>
    <w:rsid w:val="005552E5"/>
    <w:rsid w:val="00756528"/>
    <w:rsid w:val="009675A2"/>
    <w:rsid w:val="00A40B48"/>
    <w:rsid w:val="00B750EC"/>
    <w:rsid w:val="00C920F1"/>
    <w:rsid w:val="00CB657D"/>
    <w:rsid w:val="00DA1E34"/>
    <w:rsid w:val="140C56C7"/>
    <w:rsid w:val="15003FA7"/>
    <w:rsid w:val="2ECB827F"/>
    <w:rsid w:val="365115C1"/>
    <w:rsid w:val="4656C03C"/>
    <w:rsid w:val="4814082F"/>
    <w:rsid w:val="51778B80"/>
    <w:rsid w:val="52C257AB"/>
    <w:rsid w:val="57100345"/>
    <w:rsid w:val="69E2C970"/>
    <w:rsid w:val="70F3519E"/>
    <w:rsid w:val="7AC2A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46F4"/>
  <w15:chartTrackingRefBased/>
  <w15:docId w15:val="{316B9EB9-9FE9-4C40-893C-6195AB92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5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5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5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5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5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5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5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528"/>
    <w:rPr>
      <w:rFonts w:eastAsiaTheme="majorEastAsia" w:cstheme="majorBidi"/>
      <w:color w:val="272727" w:themeColor="text1" w:themeTint="D8"/>
    </w:rPr>
  </w:style>
  <w:style w:type="paragraph" w:styleId="Title">
    <w:name w:val="Title"/>
    <w:basedOn w:val="Normal"/>
    <w:next w:val="Normal"/>
    <w:link w:val="TitleChar"/>
    <w:uiPriority w:val="10"/>
    <w:qFormat/>
    <w:rsid w:val="00756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5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5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528"/>
    <w:pPr>
      <w:spacing w:before="160"/>
      <w:jc w:val="center"/>
    </w:pPr>
    <w:rPr>
      <w:i/>
      <w:iCs/>
      <w:color w:val="404040" w:themeColor="text1" w:themeTint="BF"/>
    </w:rPr>
  </w:style>
  <w:style w:type="character" w:customStyle="1" w:styleId="QuoteChar">
    <w:name w:val="Quote Char"/>
    <w:basedOn w:val="DefaultParagraphFont"/>
    <w:link w:val="Quote"/>
    <w:uiPriority w:val="29"/>
    <w:rsid w:val="00756528"/>
    <w:rPr>
      <w:i/>
      <w:iCs/>
      <w:color w:val="404040" w:themeColor="text1" w:themeTint="BF"/>
    </w:rPr>
  </w:style>
  <w:style w:type="paragraph" w:styleId="ListParagraph">
    <w:name w:val="List Paragraph"/>
    <w:basedOn w:val="Normal"/>
    <w:uiPriority w:val="34"/>
    <w:qFormat/>
    <w:rsid w:val="00756528"/>
    <w:pPr>
      <w:ind w:left="720"/>
      <w:contextualSpacing/>
    </w:pPr>
  </w:style>
  <w:style w:type="character" w:styleId="IntenseEmphasis">
    <w:name w:val="Intense Emphasis"/>
    <w:basedOn w:val="DefaultParagraphFont"/>
    <w:uiPriority w:val="21"/>
    <w:qFormat/>
    <w:rsid w:val="00756528"/>
    <w:rPr>
      <w:i/>
      <w:iCs/>
      <w:color w:val="0F4761" w:themeColor="accent1" w:themeShade="BF"/>
    </w:rPr>
  </w:style>
  <w:style w:type="paragraph" w:styleId="IntenseQuote">
    <w:name w:val="Intense Quote"/>
    <w:basedOn w:val="Normal"/>
    <w:next w:val="Normal"/>
    <w:link w:val="IntenseQuoteChar"/>
    <w:uiPriority w:val="30"/>
    <w:qFormat/>
    <w:rsid w:val="00756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528"/>
    <w:rPr>
      <w:i/>
      <w:iCs/>
      <w:color w:val="0F4761" w:themeColor="accent1" w:themeShade="BF"/>
    </w:rPr>
  </w:style>
  <w:style w:type="character" w:styleId="IntenseReference">
    <w:name w:val="Intense Reference"/>
    <w:basedOn w:val="DefaultParagraphFont"/>
    <w:uiPriority w:val="32"/>
    <w:qFormat/>
    <w:rsid w:val="00756528"/>
    <w:rPr>
      <w:b/>
      <w:bCs/>
      <w:smallCaps/>
      <w:color w:val="0F4761" w:themeColor="accent1" w:themeShade="BF"/>
      <w:spacing w:val="5"/>
    </w:rPr>
  </w:style>
  <w:style w:type="character" w:styleId="Hyperlink">
    <w:name w:val="Hyperlink"/>
    <w:basedOn w:val="DefaultParagraphFont"/>
    <w:uiPriority w:val="99"/>
    <w:unhideWhenUsed/>
    <w:rsid w:val="003F08D2"/>
    <w:rPr>
      <w:color w:val="467886" w:themeColor="hyperlink"/>
      <w:u w:val="single"/>
    </w:rPr>
  </w:style>
  <w:style w:type="character" w:styleId="UnresolvedMention">
    <w:name w:val="Unresolved Mention"/>
    <w:basedOn w:val="DefaultParagraphFont"/>
    <w:uiPriority w:val="99"/>
    <w:semiHidden/>
    <w:unhideWhenUsed/>
    <w:rsid w:val="003F08D2"/>
    <w:rPr>
      <w:color w:val="605E5C"/>
      <w:shd w:val="clear" w:color="auto" w:fill="E1DFDD"/>
    </w:rPr>
  </w:style>
  <w:style w:type="paragraph" w:styleId="Header">
    <w:name w:val="header"/>
    <w:basedOn w:val="Normal"/>
    <w:link w:val="HeaderChar"/>
    <w:uiPriority w:val="99"/>
    <w:unhideWhenUsed/>
    <w:rsid w:val="00CB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57D"/>
  </w:style>
  <w:style w:type="paragraph" w:styleId="Footer">
    <w:name w:val="footer"/>
    <w:basedOn w:val="Normal"/>
    <w:link w:val="FooterChar"/>
    <w:uiPriority w:val="99"/>
    <w:unhideWhenUsed/>
    <w:rsid w:val="00CB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40213">
      <w:bodyDiv w:val="1"/>
      <w:marLeft w:val="0"/>
      <w:marRight w:val="0"/>
      <w:marTop w:val="0"/>
      <w:marBottom w:val="0"/>
      <w:divBdr>
        <w:top w:val="none" w:sz="0" w:space="0" w:color="auto"/>
        <w:left w:val="none" w:sz="0" w:space="0" w:color="auto"/>
        <w:bottom w:val="none" w:sz="0" w:space="0" w:color="auto"/>
        <w:right w:val="none" w:sz="0" w:space="0" w:color="auto"/>
      </w:divBdr>
      <w:divsChild>
        <w:div w:id="610011643">
          <w:marLeft w:val="0"/>
          <w:marRight w:val="0"/>
          <w:marTop w:val="0"/>
          <w:marBottom w:val="0"/>
          <w:divBdr>
            <w:top w:val="none" w:sz="0" w:space="0" w:color="auto"/>
            <w:left w:val="none" w:sz="0" w:space="0" w:color="auto"/>
            <w:bottom w:val="none" w:sz="0" w:space="0" w:color="auto"/>
            <w:right w:val="none" w:sz="0" w:space="0" w:color="auto"/>
          </w:divBdr>
        </w:div>
        <w:div w:id="1636255195">
          <w:marLeft w:val="0"/>
          <w:marRight w:val="0"/>
          <w:marTop w:val="0"/>
          <w:marBottom w:val="0"/>
          <w:divBdr>
            <w:top w:val="none" w:sz="0" w:space="0" w:color="auto"/>
            <w:left w:val="none" w:sz="0" w:space="0" w:color="auto"/>
            <w:bottom w:val="none" w:sz="0" w:space="0" w:color="auto"/>
            <w:right w:val="none" w:sz="0" w:space="0" w:color="auto"/>
          </w:divBdr>
        </w:div>
        <w:div w:id="161823751">
          <w:marLeft w:val="0"/>
          <w:marRight w:val="0"/>
          <w:marTop w:val="0"/>
          <w:marBottom w:val="0"/>
          <w:divBdr>
            <w:top w:val="none" w:sz="0" w:space="0" w:color="auto"/>
            <w:left w:val="none" w:sz="0" w:space="0" w:color="auto"/>
            <w:bottom w:val="none" w:sz="0" w:space="0" w:color="auto"/>
            <w:right w:val="none" w:sz="0" w:space="0" w:color="auto"/>
          </w:divBdr>
        </w:div>
        <w:div w:id="1643273366">
          <w:marLeft w:val="0"/>
          <w:marRight w:val="0"/>
          <w:marTop w:val="0"/>
          <w:marBottom w:val="0"/>
          <w:divBdr>
            <w:top w:val="none" w:sz="0" w:space="0" w:color="auto"/>
            <w:left w:val="none" w:sz="0" w:space="0" w:color="auto"/>
            <w:bottom w:val="none" w:sz="0" w:space="0" w:color="auto"/>
            <w:right w:val="none" w:sz="0" w:space="0" w:color="auto"/>
          </w:divBdr>
        </w:div>
        <w:div w:id="2013949229">
          <w:marLeft w:val="0"/>
          <w:marRight w:val="0"/>
          <w:marTop w:val="0"/>
          <w:marBottom w:val="0"/>
          <w:divBdr>
            <w:top w:val="none" w:sz="0" w:space="0" w:color="auto"/>
            <w:left w:val="none" w:sz="0" w:space="0" w:color="auto"/>
            <w:bottom w:val="none" w:sz="0" w:space="0" w:color="auto"/>
            <w:right w:val="none" w:sz="0" w:space="0" w:color="auto"/>
          </w:divBdr>
        </w:div>
        <w:div w:id="1969318484">
          <w:marLeft w:val="0"/>
          <w:marRight w:val="0"/>
          <w:marTop w:val="0"/>
          <w:marBottom w:val="0"/>
          <w:divBdr>
            <w:top w:val="none" w:sz="0" w:space="0" w:color="auto"/>
            <w:left w:val="none" w:sz="0" w:space="0" w:color="auto"/>
            <w:bottom w:val="none" w:sz="0" w:space="0" w:color="auto"/>
            <w:right w:val="none" w:sz="0" w:space="0" w:color="auto"/>
          </w:divBdr>
        </w:div>
        <w:div w:id="911818549">
          <w:marLeft w:val="0"/>
          <w:marRight w:val="0"/>
          <w:marTop w:val="0"/>
          <w:marBottom w:val="0"/>
          <w:divBdr>
            <w:top w:val="none" w:sz="0" w:space="0" w:color="auto"/>
            <w:left w:val="none" w:sz="0" w:space="0" w:color="auto"/>
            <w:bottom w:val="none" w:sz="0" w:space="0" w:color="auto"/>
            <w:right w:val="none" w:sz="0" w:space="0" w:color="auto"/>
          </w:divBdr>
        </w:div>
        <w:div w:id="1901165780">
          <w:marLeft w:val="0"/>
          <w:marRight w:val="0"/>
          <w:marTop w:val="0"/>
          <w:marBottom w:val="0"/>
          <w:divBdr>
            <w:top w:val="none" w:sz="0" w:space="0" w:color="auto"/>
            <w:left w:val="none" w:sz="0" w:space="0" w:color="auto"/>
            <w:bottom w:val="none" w:sz="0" w:space="0" w:color="auto"/>
            <w:right w:val="none" w:sz="0" w:space="0" w:color="auto"/>
          </w:divBdr>
        </w:div>
      </w:divsChild>
    </w:div>
    <w:div w:id="364257150">
      <w:bodyDiv w:val="1"/>
      <w:marLeft w:val="0"/>
      <w:marRight w:val="0"/>
      <w:marTop w:val="0"/>
      <w:marBottom w:val="0"/>
      <w:divBdr>
        <w:top w:val="none" w:sz="0" w:space="0" w:color="auto"/>
        <w:left w:val="none" w:sz="0" w:space="0" w:color="auto"/>
        <w:bottom w:val="none" w:sz="0" w:space="0" w:color="auto"/>
        <w:right w:val="none" w:sz="0" w:space="0" w:color="auto"/>
      </w:divBdr>
      <w:divsChild>
        <w:div w:id="270167382">
          <w:marLeft w:val="0"/>
          <w:marRight w:val="0"/>
          <w:marTop w:val="0"/>
          <w:marBottom w:val="0"/>
          <w:divBdr>
            <w:top w:val="none" w:sz="0" w:space="0" w:color="auto"/>
            <w:left w:val="none" w:sz="0" w:space="0" w:color="auto"/>
            <w:bottom w:val="none" w:sz="0" w:space="0" w:color="auto"/>
            <w:right w:val="none" w:sz="0" w:space="0" w:color="auto"/>
          </w:divBdr>
        </w:div>
        <w:div w:id="897712555">
          <w:marLeft w:val="0"/>
          <w:marRight w:val="0"/>
          <w:marTop w:val="0"/>
          <w:marBottom w:val="0"/>
          <w:divBdr>
            <w:top w:val="none" w:sz="0" w:space="0" w:color="auto"/>
            <w:left w:val="none" w:sz="0" w:space="0" w:color="auto"/>
            <w:bottom w:val="none" w:sz="0" w:space="0" w:color="auto"/>
            <w:right w:val="none" w:sz="0" w:space="0" w:color="auto"/>
          </w:divBdr>
        </w:div>
        <w:div w:id="1994523061">
          <w:marLeft w:val="0"/>
          <w:marRight w:val="0"/>
          <w:marTop w:val="0"/>
          <w:marBottom w:val="0"/>
          <w:divBdr>
            <w:top w:val="none" w:sz="0" w:space="0" w:color="auto"/>
            <w:left w:val="none" w:sz="0" w:space="0" w:color="auto"/>
            <w:bottom w:val="none" w:sz="0" w:space="0" w:color="auto"/>
            <w:right w:val="none" w:sz="0" w:space="0" w:color="auto"/>
          </w:divBdr>
        </w:div>
        <w:div w:id="241986874">
          <w:marLeft w:val="0"/>
          <w:marRight w:val="0"/>
          <w:marTop w:val="0"/>
          <w:marBottom w:val="0"/>
          <w:divBdr>
            <w:top w:val="none" w:sz="0" w:space="0" w:color="auto"/>
            <w:left w:val="none" w:sz="0" w:space="0" w:color="auto"/>
            <w:bottom w:val="none" w:sz="0" w:space="0" w:color="auto"/>
            <w:right w:val="none" w:sz="0" w:space="0" w:color="auto"/>
          </w:divBdr>
        </w:div>
        <w:div w:id="1935505108">
          <w:marLeft w:val="0"/>
          <w:marRight w:val="0"/>
          <w:marTop w:val="0"/>
          <w:marBottom w:val="0"/>
          <w:divBdr>
            <w:top w:val="none" w:sz="0" w:space="0" w:color="auto"/>
            <w:left w:val="none" w:sz="0" w:space="0" w:color="auto"/>
            <w:bottom w:val="none" w:sz="0" w:space="0" w:color="auto"/>
            <w:right w:val="none" w:sz="0" w:space="0" w:color="auto"/>
          </w:divBdr>
        </w:div>
        <w:div w:id="1584797059">
          <w:marLeft w:val="0"/>
          <w:marRight w:val="0"/>
          <w:marTop w:val="0"/>
          <w:marBottom w:val="0"/>
          <w:divBdr>
            <w:top w:val="none" w:sz="0" w:space="0" w:color="auto"/>
            <w:left w:val="none" w:sz="0" w:space="0" w:color="auto"/>
            <w:bottom w:val="none" w:sz="0" w:space="0" w:color="auto"/>
            <w:right w:val="none" w:sz="0" w:space="0" w:color="auto"/>
          </w:divBdr>
        </w:div>
        <w:div w:id="1405373085">
          <w:marLeft w:val="0"/>
          <w:marRight w:val="0"/>
          <w:marTop w:val="0"/>
          <w:marBottom w:val="0"/>
          <w:divBdr>
            <w:top w:val="none" w:sz="0" w:space="0" w:color="auto"/>
            <w:left w:val="none" w:sz="0" w:space="0" w:color="auto"/>
            <w:bottom w:val="none" w:sz="0" w:space="0" w:color="auto"/>
            <w:right w:val="none" w:sz="0" w:space="0" w:color="auto"/>
          </w:divBdr>
        </w:div>
        <w:div w:id="2018606823">
          <w:marLeft w:val="0"/>
          <w:marRight w:val="0"/>
          <w:marTop w:val="0"/>
          <w:marBottom w:val="0"/>
          <w:divBdr>
            <w:top w:val="none" w:sz="0" w:space="0" w:color="auto"/>
            <w:left w:val="none" w:sz="0" w:space="0" w:color="auto"/>
            <w:bottom w:val="none" w:sz="0" w:space="0" w:color="auto"/>
            <w:right w:val="none" w:sz="0" w:space="0" w:color="auto"/>
          </w:divBdr>
        </w:div>
      </w:divsChild>
    </w:div>
    <w:div w:id="844130496">
      <w:bodyDiv w:val="1"/>
      <w:marLeft w:val="0"/>
      <w:marRight w:val="0"/>
      <w:marTop w:val="0"/>
      <w:marBottom w:val="0"/>
      <w:divBdr>
        <w:top w:val="none" w:sz="0" w:space="0" w:color="auto"/>
        <w:left w:val="none" w:sz="0" w:space="0" w:color="auto"/>
        <w:bottom w:val="none" w:sz="0" w:space="0" w:color="auto"/>
        <w:right w:val="none" w:sz="0" w:space="0" w:color="auto"/>
      </w:divBdr>
      <w:divsChild>
        <w:div w:id="950403698">
          <w:marLeft w:val="0"/>
          <w:marRight w:val="0"/>
          <w:marTop w:val="0"/>
          <w:marBottom w:val="0"/>
          <w:divBdr>
            <w:top w:val="none" w:sz="0" w:space="0" w:color="auto"/>
            <w:left w:val="none" w:sz="0" w:space="0" w:color="auto"/>
            <w:bottom w:val="none" w:sz="0" w:space="0" w:color="auto"/>
            <w:right w:val="none" w:sz="0" w:space="0" w:color="auto"/>
          </w:divBdr>
        </w:div>
        <w:div w:id="1719670661">
          <w:marLeft w:val="0"/>
          <w:marRight w:val="0"/>
          <w:marTop w:val="0"/>
          <w:marBottom w:val="0"/>
          <w:divBdr>
            <w:top w:val="none" w:sz="0" w:space="0" w:color="auto"/>
            <w:left w:val="none" w:sz="0" w:space="0" w:color="auto"/>
            <w:bottom w:val="none" w:sz="0" w:space="0" w:color="auto"/>
            <w:right w:val="none" w:sz="0" w:space="0" w:color="auto"/>
          </w:divBdr>
        </w:div>
        <w:div w:id="1680695225">
          <w:marLeft w:val="0"/>
          <w:marRight w:val="0"/>
          <w:marTop w:val="0"/>
          <w:marBottom w:val="0"/>
          <w:divBdr>
            <w:top w:val="none" w:sz="0" w:space="0" w:color="auto"/>
            <w:left w:val="none" w:sz="0" w:space="0" w:color="auto"/>
            <w:bottom w:val="none" w:sz="0" w:space="0" w:color="auto"/>
            <w:right w:val="none" w:sz="0" w:space="0" w:color="auto"/>
          </w:divBdr>
        </w:div>
        <w:div w:id="1896626842">
          <w:marLeft w:val="0"/>
          <w:marRight w:val="0"/>
          <w:marTop w:val="0"/>
          <w:marBottom w:val="0"/>
          <w:divBdr>
            <w:top w:val="none" w:sz="0" w:space="0" w:color="auto"/>
            <w:left w:val="none" w:sz="0" w:space="0" w:color="auto"/>
            <w:bottom w:val="none" w:sz="0" w:space="0" w:color="auto"/>
            <w:right w:val="none" w:sz="0" w:space="0" w:color="auto"/>
          </w:divBdr>
        </w:div>
        <w:div w:id="1047804555">
          <w:marLeft w:val="0"/>
          <w:marRight w:val="0"/>
          <w:marTop w:val="0"/>
          <w:marBottom w:val="0"/>
          <w:divBdr>
            <w:top w:val="none" w:sz="0" w:space="0" w:color="auto"/>
            <w:left w:val="none" w:sz="0" w:space="0" w:color="auto"/>
            <w:bottom w:val="none" w:sz="0" w:space="0" w:color="auto"/>
            <w:right w:val="none" w:sz="0" w:space="0" w:color="auto"/>
          </w:divBdr>
        </w:div>
        <w:div w:id="2009596283">
          <w:marLeft w:val="0"/>
          <w:marRight w:val="0"/>
          <w:marTop w:val="0"/>
          <w:marBottom w:val="0"/>
          <w:divBdr>
            <w:top w:val="none" w:sz="0" w:space="0" w:color="auto"/>
            <w:left w:val="none" w:sz="0" w:space="0" w:color="auto"/>
            <w:bottom w:val="none" w:sz="0" w:space="0" w:color="auto"/>
            <w:right w:val="none" w:sz="0" w:space="0" w:color="auto"/>
          </w:divBdr>
        </w:div>
        <w:div w:id="1123038941">
          <w:marLeft w:val="0"/>
          <w:marRight w:val="0"/>
          <w:marTop w:val="0"/>
          <w:marBottom w:val="0"/>
          <w:divBdr>
            <w:top w:val="none" w:sz="0" w:space="0" w:color="auto"/>
            <w:left w:val="none" w:sz="0" w:space="0" w:color="auto"/>
            <w:bottom w:val="none" w:sz="0" w:space="0" w:color="auto"/>
            <w:right w:val="none" w:sz="0" w:space="0" w:color="auto"/>
          </w:divBdr>
        </w:div>
        <w:div w:id="1604340714">
          <w:marLeft w:val="0"/>
          <w:marRight w:val="0"/>
          <w:marTop w:val="0"/>
          <w:marBottom w:val="0"/>
          <w:divBdr>
            <w:top w:val="none" w:sz="0" w:space="0" w:color="auto"/>
            <w:left w:val="none" w:sz="0" w:space="0" w:color="auto"/>
            <w:bottom w:val="none" w:sz="0" w:space="0" w:color="auto"/>
            <w:right w:val="none" w:sz="0" w:space="0" w:color="auto"/>
          </w:divBdr>
        </w:div>
        <w:div w:id="1698312102">
          <w:marLeft w:val="0"/>
          <w:marRight w:val="0"/>
          <w:marTop w:val="0"/>
          <w:marBottom w:val="0"/>
          <w:divBdr>
            <w:top w:val="none" w:sz="0" w:space="0" w:color="auto"/>
            <w:left w:val="none" w:sz="0" w:space="0" w:color="auto"/>
            <w:bottom w:val="none" w:sz="0" w:space="0" w:color="auto"/>
            <w:right w:val="none" w:sz="0" w:space="0" w:color="auto"/>
          </w:divBdr>
        </w:div>
        <w:div w:id="321663704">
          <w:marLeft w:val="0"/>
          <w:marRight w:val="0"/>
          <w:marTop w:val="0"/>
          <w:marBottom w:val="0"/>
          <w:divBdr>
            <w:top w:val="none" w:sz="0" w:space="0" w:color="auto"/>
            <w:left w:val="none" w:sz="0" w:space="0" w:color="auto"/>
            <w:bottom w:val="none" w:sz="0" w:space="0" w:color="auto"/>
            <w:right w:val="none" w:sz="0" w:space="0" w:color="auto"/>
          </w:divBdr>
        </w:div>
        <w:div w:id="576283427">
          <w:marLeft w:val="0"/>
          <w:marRight w:val="0"/>
          <w:marTop w:val="0"/>
          <w:marBottom w:val="0"/>
          <w:divBdr>
            <w:top w:val="none" w:sz="0" w:space="0" w:color="auto"/>
            <w:left w:val="none" w:sz="0" w:space="0" w:color="auto"/>
            <w:bottom w:val="none" w:sz="0" w:space="0" w:color="auto"/>
            <w:right w:val="none" w:sz="0" w:space="0" w:color="auto"/>
          </w:divBdr>
        </w:div>
        <w:div w:id="1816870495">
          <w:marLeft w:val="0"/>
          <w:marRight w:val="0"/>
          <w:marTop w:val="0"/>
          <w:marBottom w:val="0"/>
          <w:divBdr>
            <w:top w:val="none" w:sz="0" w:space="0" w:color="auto"/>
            <w:left w:val="none" w:sz="0" w:space="0" w:color="auto"/>
            <w:bottom w:val="none" w:sz="0" w:space="0" w:color="auto"/>
            <w:right w:val="none" w:sz="0" w:space="0" w:color="auto"/>
          </w:divBdr>
        </w:div>
        <w:div w:id="1412586026">
          <w:marLeft w:val="0"/>
          <w:marRight w:val="0"/>
          <w:marTop w:val="0"/>
          <w:marBottom w:val="0"/>
          <w:divBdr>
            <w:top w:val="none" w:sz="0" w:space="0" w:color="auto"/>
            <w:left w:val="none" w:sz="0" w:space="0" w:color="auto"/>
            <w:bottom w:val="none" w:sz="0" w:space="0" w:color="auto"/>
            <w:right w:val="none" w:sz="0" w:space="0" w:color="auto"/>
          </w:divBdr>
        </w:div>
        <w:div w:id="766510762">
          <w:marLeft w:val="0"/>
          <w:marRight w:val="0"/>
          <w:marTop w:val="0"/>
          <w:marBottom w:val="0"/>
          <w:divBdr>
            <w:top w:val="none" w:sz="0" w:space="0" w:color="auto"/>
            <w:left w:val="none" w:sz="0" w:space="0" w:color="auto"/>
            <w:bottom w:val="none" w:sz="0" w:space="0" w:color="auto"/>
            <w:right w:val="none" w:sz="0" w:space="0" w:color="auto"/>
          </w:divBdr>
        </w:div>
        <w:div w:id="773676203">
          <w:marLeft w:val="0"/>
          <w:marRight w:val="0"/>
          <w:marTop w:val="0"/>
          <w:marBottom w:val="0"/>
          <w:divBdr>
            <w:top w:val="none" w:sz="0" w:space="0" w:color="auto"/>
            <w:left w:val="none" w:sz="0" w:space="0" w:color="auto"/>
            <w:bottom w:val="none" w:sz="0" w:space="0" w:color="auto"/>
            <w:right w:val="none" w:sz="0" w:space="0" w:color="auto"/>
          </w:divBdr>
        </w:div>
        <w:div w:id="584997363">
          <w:marLeft w:val="0"/>
          <w:marRight w:val="0"/>
          <w:marTop w:val="0"/>
          <w:marBottom w:val="0"/>
          <w:divBdr>
            <w:top w:val="none" w:sz="0" w:space="0" w:color="auto"/>
            <w:left w:val="none" w:sz="0" w:space="0" w:color="auto"/>
            <w:bottom w:val="none" w:sz="0" w:space="0" w:color="auto"/>
            <w:right w:val="none" w:sz="0" w:space="0" w:color="auto"/>
          </w:divBdr>
        </w:div>
        <w:div w:id="1649744539">
          <w:marLeft w:val="0"/>
          <w:marRight w:val="0"/>
          <w:marTop w:val="0"/>
          <w:marBottom w:val="0"/>
          <w:divBdr>
            <w:top w:val="none" w:sz="0" w:space="0" w:color="auto"/>
            <w:left w:val="none" w:sz="0" w:space="0" w:color="auto"/>
            <w:bottom w:val="none" w:sz="0" w:space="0" w:color="auto"/>
            <w:right w:val="none" w:sz="0" w:space="0" w:color="auto"/>
          </w:divBdr>
        </w:div>
        <w:div w:id="1176847505">
          <w:marLeft w:val="0"/>
          <w:marRight w:val="0"/>
          <w:marTop w:val="0"/>
          <w:marBottom w:val="0"/>
          <w:divBdr>
            <w:top w:val="none" w:sz="0" w:space="0" w:color="auto"/>
            <w:left w:val="none" w:sz="0" w:space="0" w:color="auto"/>
            <w:bottom w:val="none" w:sz="0" w:space="0" w:color="auto"/>
            <w:right w:val="none" w:sz="0" w:space="0" w:color="auto"/>
          </w:divBdr>
        </w:div>
        <w:div w:id="2139758798">
          <w:marLeft w:val="0"/>
          <w:marRight w:val="0"/>
          <w:marTop w:val="0"/>
          <w:marBottom w:val="0"/>
          <w:divBdr>
            <w:top w:val="none" w:sz="0" w:space="0" w:color="auto"/>
            <w:left w:val="none" w:sz="0" w:space="0" w:color="auto"/>
            <w:bottom w:val="none" w:sz="0" w:space="0" w:color="auto"/>
            <w:right w:val="none" w:sz="0" w:space="0" w:color="auto"/>
          </w:divBdr>
        </w:div>
        <w:div w:id="364257429">
          <w:marLeft w:val="0"/>
          <w:marRight w:val="0"/>
          <w:marTop w:val="0"/>
          <w:marBottom w:val="0"/>
          <w:divBdr>
            <w:top w:val="none" w:sz="0" w:space="0" w:color="auto"/>
            <w:left w:val="none" w:sz="0" w:space="0" w:color="auto"/>
            <w:bottom w:val="none" w:sz="0" w:space="0" w:color="auto"/>
            <w:right w:val="none" w:sz="0" w:space="0" w:color="auto"/>
          </w:divBdr>
        </w:div>
        <w:div w:id="1973174614">
          <w:marLeft w:val="0"/>
          <w:marRight w:val="0"/>
          <w:marTop w:val="0"/>
          <w:marBottom w:val="0"/>
          <w:divBdr>
            <w:top w:val="none" w:sz="0" w:space="0" w:color="auto"/>
            <w:left w:val="none" w:sz="0" w:space="0" w:color="auto"/>
            <w:bottom w:val="none" w:sz="0" w:space="0" w:color="auto"/>
            <w:right w:val="none" w:sz="0" w:space="0" w:color="auto"/>
          </w:divBdr>
        </w:div>
        <w:div w:id="227035292">
          <w:marLeft w:val="0"/>
          <w:marRight w:val="0"/>
          <w:marTop w:val="0"/>
          <w:marBottom w:val="0"/>
          <w:divBdr>
            <w:top w:val="none" w:sz="0" w:space="0" w:color="auto"/>
            <w:left w:val="none" w:sz="0" w:space="0" w:color="auto"/>
            <w:bottom w:val="none" w:sz="0" w:space="0" w:color="auto"/>
            <w:right w:val="none" w:sz="0" w:space="0" w:color="auto"/>
          </w:divBdr>
        </w:div>
        <w:div w:id="556009626">
          <w:marLeft w:val="0"/>
          <w:marRight w:val="0"/>
          <w:marTop w:val="0"/>
          <w:marBottom w:val="0"/>
          <w:divBdr>
            <w:top w:val="none" w:sz="0" w:space="0" w:color="auto"/>
            <w:left w:val="none" w:sz="0" w:space="0" w:color="auto"/>
            <w:bottom w:val="none" w:sz="0" w:space="0" w:color="auto"/>
            <w:right w:val="none" w:sz="0" w:space="0" w:color="auto"/>
          </w:divBdr>
        </w:div>
        <w:div w:id="2037463884">
          <w:marLeft w:val="0"/>
          <w:marRight w:val="0"/>
          <w:marTop w:val="0"/>
          <w:marBottom w:val="0"/>
          <w:divBdr>
            <w:top w:val="none" w:sz="0" w:space="0" w:color="auto"/>
            <w:left w:val="none" w:sz="0" w:space="0" w:color="auto"/>
            <w:bottom w:val="none" w:sz="0" w:space="0" w:color="auto"/>
            <w:right w:val="none" w:sz="0" w:space="0" w:color="auto"/>
          </w:divBdr>
        </w:div>
        <w:div w:id="1701542938">
          <w:marLeft w:val="0"/>
          <w:marRight w:val="0"/>
          <w:marTop w:val="0"/>
          <w:marBottom w:val="0"/>
          <w:divBdr>
            <w:top w:val="none" w:sz="0" w:space="0" w:color="auto"/>
            <w:left w:val="none" w:sz="0" w:space="0" w:color="auto"/>
            <w:bottom w:val="none" w:sz="0" w:space="0" w:color="auto"/>
            <w:right w:val="none" w:sz="0" w:space="0" w:color="auto"/>
          </w:divBdr>
        </w:div>
        <w:div w:id="338507440">
          <w:marLeft w:val="0"/>
          <w:marRight w:val="0"/>
          <w:marTop w:val="0"/>
          <w:marBottom w:val="0"/>
          <w:divBdr>
            <w:top w:val="none" w:sz="0" w:space="0" w:color="auto"/>
            <w:left w:val="none" w:sz="0" w:space="0" w:color="auto"/>
            <w:bottom w:val="none" w:sz="0" w:space="0" w:color="auto"/>
            <w:right w:val="none" w:sz="0" w:space="0" w:color="auto"/>
          </w:divBdr>
        </w:div>
        <w:div w:id="688601862">
          <w:marLeft w:val="0"/>
          <w:marRight w:val="0"/>
          <w:marTop w:val="0"/>
          <w:marBottom w:val="0"/>
          <w:divBdr>
            <w:top w:val="none" w:sz="0" w:space="0" w:color="auto"/>
            <w:left w:val="none" w:sz="0" w:space="0" w:color="auto"/>
            <w:bottom w:val="none" w:sz="0" w:space="0" w:color="auto"/>
            <w:right w:val="none" w:sz="0" w:space="0" w:color="auto"/>
          </w:divBdr>
        </w:div>
        <w:div w:id="2013752413">
          <w:marLeft w:val="0"/>
          <w:marRight w:val="0"/>
          <w:marTop w:val="0"/>
          <w:marBottom w:val="0"/>
          <w:divBdr>
            <w:top w:val="none" w:sz="0" w:space="0" w:color="auto"/>
            <w:left w:val="none" w:sz="0" w:space="0" w:color="auto"/>
            <w:bottom w:val="none" w:sz="0" w:space="0" w:color="auto"/>
            <w:right w:val="none" w:sz="0" w:space="0" w:color="auto"/>
          </w:divBdr>
        </w:div>
        <w:div w:id="1598323242">
          <w:marLeft w:val="0"/>
          <w:marRight w:val="0"/>
          <w:marTop w:val="0"/>
          <w:marBottom w:val="0"/>
          <w:divBdr>
            <w:top w:val="none" w:sz="0" w:space="0" w:color="auto"/>
            <w:left w:val="none" w:sz="0" w:space="0" w:color="auto"/>
            <w:bottom w:val="none" w:sz="0" w:space="0" w:color="auto"/>
            <w:right w:val="none" w:sz="0" w:space="0" w:color="auto"/>
          </w:divBdr>
        </w:div>
        <w:div w:id="967469339">
          <w:marLeft w:val="0"/>
          <w:marRight w:val="0"/>
          <w:marTop w:val="0"/>
          <w:marBottom w:val="0"/>
          <w:divBdr>
            <w:top w:val="none" w:sz="0" w:space="0" w:color="auto"/>
            <w:left w:val="none" w:sz="0" w:space="0" w:color="auto"/>
            <w:bottom w:val="none" w:sz="0" w:space="0" w:color="auto"/>
            <w:right w:val="none" w:sz="0" w:space="0" w:color="auto"/>
          </w:divBdr>
        </w:div>
        <w:div w:id="1375302132">
          <w:marLeft w:val="0"/>
          <w:marRight w:val="0"/>
          <w:marTop w:val="0"/>
          <w:marBottom w:val="0"/>
          <w:divBdr>
            <w:top w:val="none" w:sz="0" w:space="0" w:color="auto"/>
            <w:left w:val="none" w:sz="0" w:space="0" w:color="auto"/>
            <w:bottom w:val="none" w:sz="0" w:space="0" w:color="auto"/>
            <w:right w:val="none" w:sz="0" w:space="0" w:color="auto"/>
          </w:divBdr>
        </w:div>
        <w:div w:id="893397093">
          <w:marLeft w:val="0"/>
          <w:marRight w:val="0"/>
          <w:marTop w:val="0"/>
          <w:marBottom w:val="0"/>
          <w:divBdr>
            <w:top w:val="none" w:sz="0" w:space="0" w:color="auto"/>
            <w:left w:val="none" w:sz="0" w:space="0" w:color="auto"/>
            <w:bottom w:val="none" w:sz="0" w:space="0" w:color="auto"/>
            <w:right w:val="none" w:sz="0" w:space="0" w:color="auto"/>
          </w:divBdr>
        </w:div>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 w:id="1663506467">
      <w:bodyDiv w:val="1"/>
      <w:marLeft w:val="0"/>
      <w:marRight w:val="0"/>
      <w:marTop w:val="0"/>
      <w:marBottom w:val="0"/>
      <w:divBdr>
        <w:top w:val="none" w:sz="0" w:space="0" w:color="auto"/>
        <w:left w:val="none" w:sz="0" w:space="0" w:color="auto"/>
        <w:bottom w:val="none" w:sz="0" w:space="0" w:color="auto"/>
        <w:right w:val="none" w:sz="0" w:space="0" w:color="auto"/>
      </w:divBdr>
      <w:divsChild>
        <w:div w:id="93601438">
          <w:marLeft w:val="0"/>
          <w:marRight w:val="0"/>
          <w:marTop w:val="0"/>
          <w:marBottom w:val="0"/>
          <w:divBdr>
            <w:top w:val="none" w:sz="0" w:space="0" w:color="auto"/>
            <w:left w:val="none" w:sz="0" w:space="0" w:color="auto"/>
            <w:bottom w:val="none" w:sz="0" w:space="0" w:color="auto"/>
            <w:right w:val="none" w:sz="0" w:space="0" w:color="auto"/>
          </w:divBdr>
        </w:div>
        <w:div w:id="1254247183">
          <w:marLeft w:val="0"/>
          <w:marRight w:val="0"/>
          <w:marTop w:val="0"/>
          <w:marBottom w:val="0"/>
          <w:divBdr>
            <w:top w:val="none" w:sz="0" w:space="0" w:color="auto"/>
            <w:left w:val="none" w:sz="0" w:space="0" w:color="auto"/>
            <w:bottom w:val="none" w:sz="0" w:space="0" w:color="auto"/>
            <w:right w:val="none" w:sz="0" w:space="0" w:color="auto"/>
          </w:divBdr>
        </w:div>
        <w:div w:id="749618523">
          <w:marLeft w:val="0"/>
          <w:marRight w:val="0"/>
          <w:marTop w:val="0"/>
          <w:marBottom w:val="0"/>
          <w:divBdr>
            <w:top w:val="none" w:sz="0" w:space="0" w:color="auto"/>
            <w:left w:val="none" w:sz="0" w:space="0" w:color="auto"/>
            <w:bottom w:val="none" w:sz="0" w:space="0" w:color="auto"/>
            <w:right w:val="none" w:sz="0" w:space="0" w:color="auto"/>
          </w:divBdr>
        </w:div>
        <w:div w:id="1331638238">
          <w:marLeft w:val="0"/>
          <w:marRight w:val="0"/>
          <w:marTop w:val="0"/>
          <w:marBottom w:val="0"/>
          <w:divBdr>
            <w:top w:val="none" w:sz="0" w:space="0" w:color="auto"/>
            <w:left w:val="none" w:sz="0" w:space="0" w:color="auto"/>
            <w:bottom w:val="none" w:sz="0" w:space="0" w:color="auto"/>
            <w:right w:val="none" w:sz="0" w:space="0" w:color="auto"/>
          </w:divBdr>
        </w:div>
        <w:div w:id="2112700626">
          <w:marLeft w:val="0"/>
          <w:marRight w:val="0"/>
          <w:marTop w:val="0"/>
          <w:marBottom w:val="0"/>
          <w:divBdr>
            <w:top w:val="none" w:sz="0" w:space="0" w:color="auto"/>
            <w:left w:val="none" w:sz="0" w:space="0" w:color="auto"/>
            <w:bottom w:val="none" w:sz="0" w:space="0" w:color="auto"/>
            <w:right w:val="none" w:sz="0" w:space="0" w:color="auto"/>
          </w:divBdr>
        </w:div>
        <w:div w:id="1592860877">
          <w:marLeft w:val="0"/>
          <w:marRight w:val="0"/>
          <w:marTop w:val="0"/>
          <w:marBottom w:val="0"/>
          <w:divBdr>
            <w:top w:val="none" w:sz="0" w:space="0" w:color="auto"/>
            <w:left w:val="none" w:sz="0" w:space="0" w:color="auto"/>
            <w:bottom w:val="none" w:sz="0" w:space="0" w:color="auto"/>
            <w:right w:val="none" w:sz="0" w:space="0" w:color="auto"/>
          </w:divBdr>
        </w:div>
        <w:div w:id="1892035945">
          <w:marLeft w:val="0"/>
          <w:marRight w:val="0"/>
          <w:marTop w:val="0"/>
          <w:marBottom w:val="0"/>
          <w:divBdr>
            <w:top w:val="none" w:sz="0" w:space="0" w:color="auto"/>
            <w:left w:val="none" w:sz="0" w:space="0" w:color="auto"/>
            <w:bottom w:val="none" w:sz="0" w:space="0" w:color="auto"/>
            <w:right w:val="none" w:sz="0" w:space="0" w:color="auto"/>
          </w:divBdr>
        </w:div>
        <w:div w:id="496305137">
          <w:marLeft w:val="0"/>
          <w:marRight w:val="0"/>
          <w:marTop w:val="0"/>
          <w:marBottom w:val="0"/>
          <w:divBdr>
            <w:top w:val="none" w:sz="0" w:space="0" w:color="auto"/>
            <w:left w:val="none" w:sz="0" w:space="0" w:color="auto"/>
            <w:bottom w:val="none" w:sz="0" w:space="0" w:color="auto"/>
            <w:right w:val="none" w:sz="0" w:space="0" w:color="auto"/>
          </w:divBdr>
        </w:div>
        <w:div w:id="982393641">
          <w:marLeft w:val="0"/>
          <w:marRight w:val="0"/>
          <w:marTop w:val="0"/>
          <w:marBottom w:val="0"/>
          <w:divBdr>
            <w:top w:val="none" w:sz="0" w:space="0" w:color="auto"/>
            <w:left w:val="none" w:sz="0" w:space="0" w:color="auto"/>
            <w:bottom w:val="none" w:sz="0" w:space="0" w:color="auto"/>
            <w:right w:val="none" w:sz="0" w:space="0" w:color="auto"/>
          </w:divBdr>
        </w:div>
        <w:div w:id="1952085323">
          <w:marLeft w:val="0"/>
          <w:marRight w:val="0"/>
          <w:marTop w:val="0"/>
          <w:marBottom w:val="0"/>
          <w:divBdr>
            <w:top w:val="none" w:sz="0" w:space="0" w:color="auto"/>
            <w:left w:val="none" w:sz="0" w:space="0" w:color="auto"/>
            <w:bottom w:val="none" w:sz="0" w:space="0" w:color="auto"/>
            <w:right w:val="none" w:sz="0" w:space="0" w:color="auto"/>
          </w:divBdr>
        </w:div>
        <w:div w:id="1874343249">
          <w:marLeft w:val="0"/>
          <w:marRight w:val="0"/>
          <w:marTop w:val="0"/>
          <w:marBottom w:val="0"/>
          <w:divBdr>
            <w:top w:val="none" w:sz="0" w:space="0" w:color="auto"/>
            <w:left w:val="none" w:sz="0" w:space="0" w:color="auto"/>
            <w:bottom w:val="none" w:sz="0" w:space="0" w:color="auto"/>
            <w:right w:val="none" w:sz="0" w:space="0" w:color="auto"/>
          </w:divBdr>
        </w:div>
        <w:div w:id="17969577">
          <w:marLeft w:val="0"/>
          <w:marRight w:val="0"/>
          <w:marTop w:val="0"/>
          <w:marBottom w:val="0"/>
          <w:divBdr>
            <w:top w:val="none" w:sz="0" w:space="0" w:color="auto"/>
            <w:left w:val="none" w:sz="0" w:space="0" w:color="auto"/>
            <w:bottom w:val="none" w:sz="0" w:space="0" w:color="auto"/>
            <w:right w:val="none" w:sz="0" w:space="0" w:color="auto"/>
          </w:divBdr>
        </w:div>
        <w:div w:id="1054353193">
          <w:marLeft w:val="0"/>
          <w:marRight w:val="0"/>
          <w:marTop w:val="0"/>
          <w:marBottom w:val="0"/>
          <w:divBdr>
            <w:top w:val="none" w:sz="0" w:space="0" w:color="auto"/>
            <w:left w:val="none" w:sz="0" w:space="0" w:color="auto"/>
            <w:bottom w:val="none" w:sz="0" w:space="0" w:color="auto"/>
            <w:right w:val="none" w:sz="0" w:space="0" w:color="auto"/>
          </w:divBdr>
        </w:div>
        <w:div w:id="1799638199">
          <w:marLeft w:val="0"/>
          <w:marRight w:val="0"/>
          <w:marTop w:val="0"/>
          <w:marBottom w:val="0"/>
          <w:divBdr>
            <w:top w:val="none" w:sz="0" w:space="0" w:color="auto"/>
            <w:left w:val="none" w:sz="0" w:space="0" w:color="auto"/>
            <w:bottom w:val="none" w:sz="0" w:space="0" w:color="auto"/>
            <w:right w:val="none" w:sz="0" w:space="0" w:color="auto"/>
          </w:divBdr>
        </w:div>
        <w:div w:id="389113201">
          <w:marLeft w:val="0"/>
          <w:marRight w:val="0"/>
          <w:marTop w:val="0"/>
          <w:marBottom w:val="0"/>
          <w:divBdr>
            <w:top w:val="none" w:sz="0" w:space="0" w:color="auto"/>
            <w:left w:val="none" w:sz="0" w:space="0" w:color="auto"/>
            <w:bottom w:val="none" w:sz="0" w:space="0" w:color="auto"/>
            <w:right w:val="none" w:sz="0" w:space="0" w:color="auto"/>
          </w:divBdr>
        </w:div>
        <w:div w:id="1455294982">
          <w:marLeft w:val="0"/>
          <w:marRight w:val="0"/>
          <w:marTop w:val="0"/>
          <w:marBottom w:val="0"/>
          <w:divBdr>
            <w:top w:val="none" w:sz="0" w:space="0" w:color="auto"/>
            <w:left w:val="none" w:sz="0" w:space="0" w:color="auto"/>
            <w:bottom w:val="none" w:sz="0" w:space="0" w:color="auto"/>
            <w:right w:val="none" w:sz="0" w:space="0" w:color="auto"/>
          </w:divBdr>
        </w:div>
        <w:div w:id="238945591">
          <w:marLeft w:val="0"/>
          <w:marRight w:val="0"/>
          <w:marTop w:val="0"/>
          <w:marBottom w:val="0"/>
          <w:divBdr>
            <w:top w:val="none" w:sz="0" w:space="0" w:color="auto"/>
            <w:left w:val="none" w:sz="0" w:space="0" w:color="auto"/>
            <w:bottom w:val="none" w:sz="0" w:space="0" w:color="auto"/>
            <w:right w:val="none" w:sz="0" w:space="0" w:color="auto"/>
          </w:divBdr>
        </w:div>
        <w:div w:id="191647091">
          <w:marLeft w:val="0"/>
          <w:marRight w:val="0"/>
          <w:marTop w:val="0"/>
          <w:marBottom w:val="0"/>
          <w:divBdr>
            <w:top w:val="none" w:sz="0" w:space="0" w:color="auto"/>
            <w:left w:val="none" w:sz="0" w:space="0" w:color="auto"/>
            <w:bottom w:val="none" w:sz="0" w:space="0" w:color="auto"/>
            <w:right w:val="none" w:sz="0" w:space="0" w:color="auto"/>
          </w:divBdr>
        </w:div>
        <w:div w:id="1548293368">
          <w:marLeft w:val="0"/>
          <w:marRight w:val="0"/>
          <w:marTop w:val="0"/>
          <w:marBottom w:val="0"/>
          <w:divBdr>
            <w:top w:val="none" w:sz="0" w:space="0" w:color="auto"/>
            <w:left w:val="none" w:sz="0" w:space="0" w:color="auto"/>
            <w:bottom w:val="none" w:sz="0" w:space="0" w:color="auto"/>
            <w:right w:val="none" w:sz="0" w:space="0" w:color="auto"/>
          </w:divBdr>
        </w:div>
        <w:div w:id="51197167">
          <w:marLeft w:val="0"/>
          <w:marRight w:val="0"/>
          <w:marTop w:val="0"/>
          <w:marBottom w:val="0"/>
          <w:divBdr>
            <w:top w:val="none" w:sz="0" w:space="0" w:color="auto"/>
            <w:left w:val="none" w:sz="0" w:space="0" w:color="auto"/>
            <w:bottom w:val="none" w:sz="0" w:space="0" w:color="auto"/>
            <w:right w:val="none" w:sz="0" w:space="0" w:color="auto"/>
          </w:divBdr>
        </w:div>
        <w:div w:id="1300458342">
          <w:marLeft w:val="0"/>
          <w:marRight w:val="0"/>
          <w:marTop w:val="0"/>
          <w:marBottom w:val="0"/>
          <w:divBdr>
            <w:top w:val="none" w:sz="0" w:space="0" w:color="auto"/>
            <w:left w:val="none" w:sz="0" w:space="0" w:color="auto"/>
            <w:bottom w:val="none" w:sz="0" w:space="0" w:color="auto"/>
            <w:right w:val="none" w:sz="0" w:space="0" w:color="auto"/>
          </w:divBdr>
        </w:div>
        <w:div w:id="1615676514">
          <w:marLeft w:val="0"/>
          <w:marRight w:val="0"/>
          <w:marTop w:val="0"/>
          <w:marBottom w:val="0"/>
          <w:divBdr>
            <w:top w:val="none" w:sz="0" w:space="0" w:color="auto"/>
            <w:left w:val="none" w:sz="0" w:space="0" w:color="auto"/>
            <w:bottom w:val="none" w:sz="0" w:space="0" w:color="auto"/>
            <w:right w:val="none" w:sz="0" w:space="0" w:color="auto"/>
          </w:divBdr>
        </w:div>
        <w:div w:id="1995406427">
          <w:marLeft w:val="0"/>
          <w:marRight w:val="0"/>
          <w:marTop w:val="0"/>
          <w:marBottom w:val="0"/>
          <w:divBdr>
            <w:top w:val="none" w:sz="0" w:space="0" w:color="auto"/>
            <w:left w:val="none" w:sz="0" w:space="0" w:color="auto"/>
            <w:bottom w:val="none" w:sz="0" w:space="0" w:color="auto"/>
            <w:right w:val="none" w:sz="0" w:space="0" w:color="auto"/>
          </w:divBdr>
        </w:div>
        <w:div w:id="1586573730">
          <w:marLeft w:val="0"/>
          <w:marRight w:val="0"/>
          <w:marTop w:val="0"/>
          <w:marBottom w:val="0"/>
          <w:divBdr>
            <w:top w:val="none" w:sz="0" w:space="0" w:color="auto"/>
            <w:left w:val="none" w:sz="0" w:space="0" w:color="auto"/>
            <w:bottom w:val="none" w:sz="0" w:space="0" w:color="auto"/>
            <w:right w:val="none" w:sz="0" w:space="0" w:color="auto"/>
          </w:divBdr>
        </w:div>
        <w:div w:id="401026400">
          <w:marLeft w:val="0"/>
          <w:marRight w:val="0"/>
          <w:marTop w:val="0"/>
          <w:marBottom w:val="0"/>
          <w:divBdr>
            <w:top w:val="none" w:sz="0" w:space="0" w:color="auto"/>
            <w:left w:val="none" w:sz="0" w:space="0" w:color="auto"/>
            <w:bottom w:val="none" w:sz="0" w:space="0" w:color="auto"/>
            <w:right w:val="none" w:sz="0" w:space="0" w:color="auto"/>
          </w:divBdr>
        </w:div>
        <w:div w:id="1139957734">
          <w:marLeft w:val="0"/>
          <w:marRight w:val="0"/>
          <w:marTop w:val="0"/>
          <w:marBottom w:val="0"/>
          <w:divBdr>
            <w:top w:val="none" w:sz="0" w:space="0" w:color="auto"/>
            <w:left w:val="none" w:sz="0" w:space="0" w:color="auto"/>
            <w:bottom w:val="none" w:sz="0" w:space="0" w:color="auto"/>
            <w:right w:val="none" w:sz="0" w:space="0" w:color="auto"/>
          </w:divBdr>
        </w:div>
        <w:div w:id="660080997">
          <w:marLeft w:val="0"/>
          <w:marRight w:val="0"/>
          <w:marTop w:val="0"/>
          <w:marBottom w:val="0"/>
          <w:divBdr>
            <w:top w:val="none" w:sz="0" w:space="0" w:color="auto"/>
            <w:left w:val="none" w:sz="0" w:space="0" w:color="auto"/>
            <w:bottom w:val="none" w:sz="0" w:space="0" w:color="auto"/>
            <w:right w:val="none" w:sz="0" w:space="0" w:color="auto"/>
          </w:divBdr>
        </w:div>
        <w:div w:id="2110663603">
          <w:marLeft w:val="0"/>
          <w:marRight w:val="0"/>
          <w:marTop w:val="0"/>
          <w:marBottom w:val="0"/>
          <w:divBdr>
            <w:top w:val="none" w:sz="0" w:space="0" w:color="auto"/>
            <w:left w:val="none" w:sz="0" w:space="0" w:color="auto"/>
            <w:bottom w:val="none" w:sz="0" w:space="0" w:color="auto"/>
            <w:right w:val="none" w:sz="0" w:space="0" w:color="auto"/>
          </w:divBdr>
        </w:div>
        <w:div w:id="2122336204">
          <w:marLeft w:val="0"/>
          <w:marRight w:val="0"/>
          <w:marTop w:val="0"/>
          <w:marBottom w:val="0"/>
          <w:divBdr>
            <w:top w:val="none" w:sz="0" w:space="0" w:color="auto"/>
            <w:left w:val="none" w:sz="0" w:space="0" w:color="auto"/>
            <w:bottom w:val="none" w:sz="0" w:space="0" w:color="auto"/>
            <w:right w:val="none" w:sz="0" w:space="0" w:color="auto"/>
          </w:divBdr>
        </w:div>
        <w:div w:id="1852987657">
          <w:marLeft w:val="0"/>
          <w:marRight w:val="0"/>
          <w:marTop w:val="0"/>
          <w:marBottom w:val="0"/>
          <w:divBdr>
            <w:top w:val="none" w:sz="0" w:space="0" w:color="auto"/>
            <w:left w:val="none" w:sz="0" w:space="0" w:color="auto"/>
            <w:bottom w:val="none" w:sz="0" w:space="0" w:color="auto"/>
            <w:right w:val="none" w:sz="0" w:space="0" w:color="auto"/>
          </w:divBdr>
        </w:div>
        <w:div w:id="1158032626">
          <w:marLeft w:val="0"/>
          <w:marRight w:val="0"/>
          <w:marTop w:val="0"/>
          <w:marBottom w:val="0"/>
          <w:divBdr>
            <w:top w:val="none" w:sz="0" w:space="0" w:color="auto"/>
            <w:left w:val="none" w:sz="0" w:space="0" w:color="auto"/>
            <w:bottom w:val="none" w:sz="0" w:space="0" w:color="auto"/>
            <w:right w:val="none" w:sz="0" w:space="0" w:color="auto"/>
          </w:divBdr>
        </w:div>
        <w:div w:id="1208034123">
          <w:marLeft w:val="0"/>
          <w:marRight w:val="0"/>
          <w:marTop w:val="0"/>
          <w:marBottom w:val="0"/>
          <w:divBdr>
            <w:top w:val="none" w:sz="0" w:space="0" w:color="auto"/>
            <w:left w:val="none" w:sz="0" w:space="0" w:color="auto"/>
            <w:bottom w:val="none" w:sz="0" w:space="0" w:color="auto"/>
            <w:right w:val="none" w:sz="0" w:space="0" w:color="auto"/>
          </w:divBdr>
        </w:div>
        <w:div w:id="41112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overhaul/far-part-deviation-guide/far-overhaul-part-39" TargetMode="External"/><Relationship Id="rId18" Type="http://schemas.openxmlformats.org/officeDocument/2006/relationships/hyperlink" Target="https://www.acquisition.gov/far-overhaul/far-part-deviation-guide/far-overhaul-part-3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cquisition.gov/far-overhaul/far-part-deviation-guide/far-overhaul-part-39" TargetMode="External"/><Relationship Id="rId7" Type="http://schemas.openxmlformats.org/officeDocument/2006/relationships/footnotes" Target="footnotes.xml"/><Relationship Id="rId12" Type="http://schemas.openxmlformats.org/officeDocument/2006/relationships/hyperlink" Target="https://www.acquisition.gov/far-overhaul/far-part-deviation-guide/far-overhaul-part-39" TargetMode="External"/><Relationship Id="rId17" Type="http://schemas.openxmlformats.org/officeDocument/2006/relationships/hyperlink" Target="https://www.acquisition.gov/far-overhaul/far-part-deviation-guide/far-overhaul-part-3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quisition.gov/far-overhaul/far-part-deviation-guide/far-overhaul-part-39" TargetMode="External"/><Relationship Id="rId20" Type="http://schemas.openxmlformats.org/officeDocument/2006/relationships/hyperlink" Target="https://www.acquisition.gov/far-overhaul/far-part-deviation-guide/far-overhaul-part-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quisition.gov/far-overhaul/far-part-deviation-guide/far-overhaul-part-39" TargetMode="External"/><Relationship Id="rId24" Type="http://schemas.openxmlformats.org/officeDocument/2006/relationships/hyperlink" Target="http://www.section508.gov/" TargetMode="External"/><Relationship Id="rId5" Type="http://schemas.openxmlformats.org/officeDocument/2006/relationships/settings" Target="settings.xml"/><Relationship Id="rId15" Type="http://schemas.openxmlformats.org/officeDocument/2006/relationships/hyperlink" Target="https://www.acquisition.gov/far-overhaul/far-part-deviation-guide/far-overhaul-part-39" TargetMode="External"/><Relationship Id="rId23" Type="http://schemas.openxmlformats.org/officeDocument/2006/relationships/hyperlink" Target="https://www.acquisition.gov/far-overhaul/far-part-deviation-guide/far-overhaul-part-39" TargetMode="External"/><Relationship Id="rId10" Type="http://schemas.openxmlformats.org/officeDocument/2006/relationships/hyperlink" Target="https://www.acquisition.gov/far-overhaul/far-part-deviation-guide/far-overhaul-part-39" TargetMode="External"/><Relationship Id="rId19" Type="http://schemas.openxmlformats.org/officeDocument/2006/relationships/hyperlink" Target="https://www.acquisition.gov/far-overhaul/far-part-deviation-guide/far-overhaul-part-39" TargetMode="External"/><Relationship Id="rId4" Type="http://schemas.openxmlformats.org/officeDocument/2006/relationships/styles" Target="styles.xml"/><Relationship Id="rId9" Type="http://schemas.openxmlformats.org/officeDocument/2006/relationships/hyperlink" Target="https://www.acquisition.gov/far-overhaul/far-part-deviation-guide/far-overhaul-part-39" TargetMode="External"/><Relationship Id="rId14" Type="http://schemas.openxmlformats.org/officeDocument/2006/relationships/hyperlink" Target="https://www.acquisition.gov/far-overhaul/far-part-deviation-guide/far-overhaul-part-39" TargetMode="External"/><Relationship Id="rId22" Type="http://schemas.openxmlformats.org/officeDocument/2006/relationships/hyperlink" Target="https://www.acquisition.gov/far-overhaul/far-part-deviation-guide/far-overhaul-part-3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30270-ac7c-4497-90d6-17a43cdb195d" xsi:nil="true"/>
    <lcf76f155ced4ddcb4097134ff3c332f xmlns="30d45850-cdab-4335-bbe4-3503319b96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c130270-ac7c-4497-90d6-17a43cdb19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6" ma:contentTypeDescription="Create a new document." ma:contentTypeScope="" ma:versionID="c7884500ead83920b3a074c7cedd5f85">
  <xsd:schema xmlns:xsd="http://www.w3.org/2001/XMLSchema" xmlns:xs="http://www.w3.org/2001/XMLSchema" xmlns:p="http://schemas.microsoft.com/office/2006/metadata/properties" xmlns:ns1="http://schemas.microsoft.com/sharepoint/v3" xmlns:ns2="30d45850-cdab-4335-bbe4-3503319b96c0" xmlns:ns3="9c130270-ac7c-4497-90d6-17a43cdb195d" targetNamespace="http://schemas.microsoft.com/office/2006/metadata/properties" ma:root="true" ma:fieldsID="fd660174d6b8eafb7bd5a29e01d3bc46" ns1:_="" ns2:_="" ns3:_="">
    <xsd:import namespace="http://schemas.microsoft.com/sharepoint/v3"/>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de5832-0273-4744-b85d-3042a10216c9}"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22F13-56F7-4D21-9F1D-79F1614D50E1}">
  <ds:schemaRefs>
    <ds:schemaRef ds:uri="http://schemas.microsoft.com/office/2006/metadata/properties"/>
    <ds:schemaRef ds:uri="http://schemas.microsoft.com/office/infopath/2007/PartnerControls"/>
    <ds:schemaRef ds:uri="9c130270-ac7c-4497-90d6-17a43cdb195d"/>
    <ds:schemaRef ds:uri="30d45850-cdab-4335-bbe4-3503319b96c0"/>
    <ds:schemaRef ds:uri="http://schemas.microsoft.com/sharepoint/v3"/>
  </ds:schemaRefs>
</ds:datastoreItem>
</file>

<file path=customXml/itemProps2.xml><?xml version="1.0" encoding="utf-8"?>
<ds:datastoreItem xmlns:ds="http://schemas.openxmlformats.org/officeDocument/2006/customXml" ds:itemID="{5D449425-8CA7-4385-A4F9-00DBBE66C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C7B28-F72E-4B1D-A6D4-B93D22918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10729</Characters>
  <Application>Microsoft Office Word</Application>
  <DocSecurity>0</DocSecurity>
  <Lines>89</Lines>
  <Paragraphs>25</Paragraphs>
  <ScaleCrop>false</ScaleCrop>
  <Company>U.S. Department of Commerce</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Winters, Virna (Federal)</cp:lastModifiedBy>
  <cp:revision>8</cp:revision>
  <dcterms:created xsi:type="dcterms:W3CDTF">2025-05-06T13:57:00Z</dcterms:created>
  <dcterms:modified xsi:type="dcterms:W3CDTF">2025-06-17T12:28:00Z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0x0101006AD02651D74EB44996A62AA680831119</vt:lpwstr>
  </property>
  <property fmtid="{D5CDD505-2E9C-101B-9397-08002B2CF9AE}" pid="3" name="MediaServiceImageTags">
    <vt:lpwstr/>
  </property>
  <property fmtid="{D5CDD505-2E9C-101B-9397-08002B2CF9AE}" pid="4" name="Order">
    <vt:r8>762000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