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50EC" w:rsidP="15003FA7" w:rsidRDefault="00B750EC" w14:paraId="7C37B278" w14:textId="237B0070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5003FA7" w:rsidR="00B750E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Attachment A</w:t>
      </w:r>
    </w:p>
    <w:p w:rsidR="4656C03C" w:rsidP="15003FA7" w:rsidRDefault="4656C03C" w14:paraId="1A88B3FE" w14:textId="12C12F08">
      <w:pPr>
        <w:pStyle w:val="Heading1"/>
        <w:pBdr>
          <w:bottom w:val="single" w:color="000000" w:sz="30" w:space="8"/>
        </w:pBdr>
        <w:shd w:val="clear" w:color="auto" w:fill="FFFFFF" w:themeFill="background1"/>
        <w:spacing w:before="300" w:beforeAutospacing="off" w:after="30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Part 10- Market Research</w:t>
      </w:r>
    </w:p>
    <w:p w:rsidR="4656C03C" w:rsidP="15003FA7" w:rsidRDefault="4656C03C" w14:paraId="7B67EA81" w14:textId="320E051C">
      <w:pPr>
        <w:shd w:val="clear" w:color="auto" w:fill="FFFFFF" w:themeFill="background1"/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hyperlink w:anchor="FAR_10_000" r:id="R7a43f068ed6d4635">
        <w:r w:rsidRPr="15003FA7" w:rsidR="4656C03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25895"/>
            <w:sz w:val="24"/>
            <w:szCs w:val="24"/>
            <w:u w:val="none"/>
            <w:lang w:val="en-US"/>
          </w:rPr>
          <w:t>10.000 Scope of part.</w:t>
        </w:r>
      </w:hyperlink>
    </w:p>
    <w:p w:rsidR="4656C03C" w:rsidP="15003FA7" w:rsidRDefault="4656C03C" w14:paraId="353D5752" w14:textId="1850922B">
      <w:pPr>
        <w:shd w:val="clear" w:color="auto" w:fill="FFFFFF" w:themeFill="background1"/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hyperlink w:anchor="FAR_10_001" r:id="R52778ba3153946c7">
        <w:r w:rsidRPr="15003FA7" w:rsidR="4656C03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25895"/>
            <w:sz w:val="24"/>
            <w:szCs w:val="24"/>
            <w:u w:val="none"/>
            <w:lang w:val="en-US"/>
          </w:rPr>
          <w:t>10.001 Market research requirements.</w:t>
        </w:r>
      </w:hyperlink>
    </w:p>
    <w:p w:rsidR="4656C03C" w:rsidP="15003FA7" w:rsidRDefault="4656C03C" w14:paraId="1875E226" w14:textId="7ABD8F6A">
      <w:pPr>
        <w:shd w:val="clear" w:color="auto" w:fill="FFFFFF" w:themeFill="background1"/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hyperlink w:anchor="FAR_10_002" r:id="R3dcdedfea53e4304">
        <w:r w:rsidRPr="15003FA7" w:rsidR="4656C03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25895"/>
            <w:sz w:val="24"/>
            <w:szCs w:val="24"/>
            <w:u w:val="none"/>
            <w:lang w:val="en-US"/>
          </w:rPr>
          <w:t>10.002 Clause.</w:t>
        </w:r>
      </w:hyperlink>
    </w:p>
    <w:p w:rsidR="4656C03C" w:rsidP="15003FA7" w:rsidRDefault="4656C03C" w14:paraId="0285F91E" w14:textId="5083826F">
      <w:pPr>
        <w:pStyle w:val="Heading2"/>
        <w:spacing w:before="30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10.000 Scope of part.</w:t>
      </w:r>
    </w:p>
    <w:p w:rsidR="4656C03C" w:rsidP="15003FA7" w:rsidRDefault="4656C03C" w14:paraId="0E7648F4" w14:textId="66CE870F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part prescribes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minimum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requirements for conducting market research before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procuring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supplies and services. See section 887 of Public Law 114-92( </w:t>
      </w:r>
      <w:hyperlink r:id="R0a77dd5b7ec3451d">
        <w:r w:rsidRPr="15003FA7" w:rsidR="4656C03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25895"/>
            <w:sz w:val="24"/>
            <w:szCs w:val="24"/>
            <w:u w:val="none"/>
            <w:lang w:val="en-US"/>
          </w:rPr>
          <w:t>41 U.S.C. 1703 note</w:t>
        </w:r>
      </w:hyperlink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), </w:t>
      </w:r>
      <w:hyperlink r:id="Rfe8c4be445d44b18">
        <w:r w:rsidRPr="15003FA7" w:rsidR="4656C03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25895"/>
            <w:sz w:val="24"/>
            <w:szCs w:val="24"/>
            <w:u w:val="none"/>
            <w:lang w:val="en-US"/>
          </w:rPr>
          <w:t>41 U.S.C. 3306(a)(1)</w:t>
        </w:r>
      </w:hyperlink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hyperlink r:id="Rcc18d816aa394342">
        <w:r w:rsidRPr="15003FA7" w:rsidR="4656C03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25895"/>
            <w:sz w:val="24"/>
            <w:szCs w:val="24"/>
            <w:u w:val="none"/>
            <w:lang w:val="en-US"/>
          </w:rPr>
          <w:t>41 U.S.C. 3307</w:t>
        </w:r>
      </w:hyperlink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and </w:t>
      </w:r>
      <w:hyperlink r:id="R1e8624b32d8541be">
        <w:r w:rsidRPr="15003FA7" w:rsidR="4656C03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25895"/>
            <w:sz w:val="24"/>
            <w:szCs w:val="24"/>
            <w:u w:val="none"/>
            <w:lang w:val="en-US"/>
          </w:rPr>
          <w:t>10 U.S.C. 3453</w:t>
        </w:r>
      </w:hyperlink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656C03C" w:rsidP="15003FA7" w:rsidRDefault="4656C03C" w14:paraId="1333A0AE" w14:textId="1AEEBB79">
      <w:pPr>
        <w:pStyle w:val="Heading2"/>
        <w:spacing w:before="30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10.001 Market research requirements.</w:t>
      </w:r>
    </w:p>
    <w:p w:rsidR="4656C03C" w:rsidP="15003FA7" w:rsidRDefault="4656C03C" w14:paraId="6E0F5C9D" w14:textId="56F78632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(a)Agencies must describe their legitimate needs.</w:t>
      </w:r>
    </w:p>
    <w:p w:rsidR="4656C03C" w:rsidP="15003FA7" w:rsidRDefault="4656C03C" w14:paraId="372C5EDB" w14:textId="68758124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(b)Agencies must conduct market research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to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circumstances before—</w:t>
      </w:r>
    </w:p>
    <w:p w:rsidR="4656C03C" w:rsidP="15003FA7" w:rsidRDefault="4656C03C" w14:paraId="498A3224" w14:textId="176FCE99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1)Developing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new requirements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documents;</w:t>
      </w:r>
    </w:p>
    <w:p w:rsidR="4656C03C" w:rsidP="15003FA7" w:rsidRDefault="4656C03C" w14:paraId="6DA21044" w14:textId="7475457F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2)Soliciting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offers for acquisitions with an estimated value over the simplified acquisition threshold; or</w:t>
      </w:r>
    </w:p>
    <w:p w:rsidR="4656C03C" w:rsidP="15003FA7" w:rsidRDefault="4656C03C" w14:paraId="1C22B0D2" w14:textId="772A6F6C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3)Awarding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task or delivery order over the simplified acquisition threshold.</w:t>
      </w:r>
    </w:p>
    <w:p w:rsidR="4656C03C" w:rsidP="15003FA7" w:rsidRDefault="4656C03C" w14:paraId="074B1D6F" w14:textId="7BF2A011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(c)Agencies should engage in responsible and constructive exchanges with industry. Agencies may use different strategies and methods to gather information, so long as they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comply with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existing law and regulation and do not provide an unfair competitive advantage to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particular firms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violate the procurement integrity requirements (see 3.104).</w:t>
      </w:r>
    </w:p>
    <w:p w:rsidR="4656C03C" w:rsidP="15003FA7" w:rsidRDefault="4656C03C" w14:paraId="2CDCBB5B" w14:textId="628AADA0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(d)When conducting market research, agencies must not ask potential sources to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more than the minimum information necessary to make the determinations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paragraph (f).</w:t>
      </w:r>
    </w:p>
    <w:p w:rsidR="4656C03C" w:rsidP="15003FA7" w:rsidRDefault="4656C03C" w14:paraId="24CB290A" w14:textId="719B07B4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(e)Agencies must document the results of market research in a manner that suits the acquisition’s size and complexity.</w:t>
      </w:r>
    </w:p>
    <w:p w:rsidR="4656C03C" w:rsidP="15003FA7" w:rsidRDefault="4656C03C" w14:paraId="5EE91CCA" w14:textId="3D58A931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(f)Agencies must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procure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commercial products and commercial services to the maximum extent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practicable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Using the results of market research, agencies will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determine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in the following order of priority, whether—</w:t>
      </w:r>
    </w:p>
    <w:p w:rsidR="4656C03C" w:rsidP="15003FA7" w:rsidRDefault="4656C03C" w14:paraId="1215D0DF" w14:textId="4BECD93B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(1)A commercial product or commercial service on an existing governmentwide contract can meet the agency's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requirements;</w:t>
      </w:r>
    </w:p>
    <w:p w:rsidR="4656C03C" w:rsidP="15003FA7" w:rsidRDefault="4656C03C" w14:paraId="12195201" w14:textId="68CDEEF6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2)The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requirements could be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modified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the agency could use an existing governmentwide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contract;</w:t>
      </w:r>
    </w:p>
    <w:p w:rsidR="4656C03C" w:rsidP="15003FA7" w:rsidRDefault="4656C03C" w14:paraId="603F0D9D" w14:textId="575DFD7D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(3)A commercial product or commercial service is available from another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source;</w:t>
      </w:r>
    </w:p>
    <w:p w:rsidR="4656C03C" w:rsidP="15003FA7" w:rsidRDefault="4656C03C" w14:paraId="5B904FF9" w14:textId="2795C0F7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(4)A commercial product or commercial service could be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modified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meet the agency's requirements; or</w:t>
      </w:r>
    </w:p>
    <w:p w:rsidR="4656C03C" w:rsidP="15003FA7" w:rsidRDefault="4656C03C" w14:paraId="07AF3363" w14:textId="766CFDD7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5)The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requirement can only be satisfied by a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nondevelopmental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item.</w:t>
      </w:r>
    </w:p>
    <w:p w:rsidR="4656C03C" w:rsidP="15003FA7" w:rsidRDefault="4656C03C" w14:paraId="1B7624B5" w14:textId="7F4DB1E0">
      <w:pPr>
        <w:pStyle w:val="Heading2"/>
        <w:spacing w:before="30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10.002 Clause.</w:t>
      </w:r>
    </w:p>
    <w:p w:rsidR="4656C03C" w:rsidP="15003FA7" w:rsidRDefault="4656C03C" w14:paraId="7D6610C9" w14:textId="24FA6C77">
      <w:pPr>
        <w:spacing w:before="0" w:beforeAutospacing="off" w:after="15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contracting officer must insert the clause at 52.210-1, Market Research, in solicitations and contracts for noncommercial acquisitions over $6 million. This policy was 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established</w:t>
      </w:r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</w:t>
      </w:r>
      <w:hyperlink r:id="R2cce01fcd85140a1">
        <w:r w:rsidRPr="15003FA7" w:rsidR="4656C03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25895"/>
            <w:sz w:val="24"/>
            <w:szCs w:val="24"/>
            <w:u w:val="none"/>
            <w:lang w:val="en-US"/>
          </w:rPr>
          <w:t>10 U.S.C. 3453</w:t>
        </w:r>
      </w:hyperlink>
      <w:r w:rsidRPr="15003FA7" w:rsidR="4656C0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(c).</w:t>
      </w:r>
    </w:p>
    <w:p w:rsidR="15003FA7" w:rsidP="15003FA7" w:rsidRDefault="15003FA7" w14:paraId="71F85803" w14:textId="5453E9C2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DA1E34" w:rsidP="15003FA7" w:rsidRDefault="00DA1E34" w14:paraId="3E35208A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sectPr w:rsidRPr="00B750EC" w:rsidR="00DA1E3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28"/>
    <w:rsid w:val="00211ABA"/>
    <w:rsid w:val="003D5C23"/>
    <w:rsid w:val="003F08D2"/>
    <w:rsid w:val="005552E5"/>
    <w:rsid w:val="00756528"/>
    <w:rsid w:val="009675A2"/>
    <w:rsid w:val="00A40B48"/>
    <w:rsid w:val="00B750EC"/>
    <w:rsid w:val="00DA1E34"/>
    <w:rsid w:val="15003FA7"/>
    <w:rsid w:val="4656C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46F4"/>
  <w15:chartTrackingRefBased/>
  <w15:docId w15:val="{316B9EB9-9FE9-4C40-893C-6195AB92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52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52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5652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5652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5652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5652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5652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5652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5652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5652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56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52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5652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56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52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56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52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56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5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08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s://www.acquisition.gov/far-overhaul/far-part-deviation-guide/far-overhaul-part-10" TargetMode="External" Id="R7a43f068ed6d4635" /><Relationship Type="http://schemas.openxmlformats.org/officeDocument/2006/relationships/hyperlink" Target="https://www.acquisition.gov/far-overhaul/far-part-deviation-guide/far-overhaul-part-10" TargetMode="External" Id="R52778ba3153946c7" /><Relationship Type="http://schemas.openxmlformats.org/officeDocument/2006/relationships/hyperlink" Target="https://www.acquisition.gov/far-overhaul/far-part-deviation-guide/far-overhaul-part-10" TargetMode="External" Id="R3dcdedfea53e4304" /><Relationship Type="http://schemas.openxmlformats.org/officeDocument/2006/relationships/hyperlink" Target="https://uscode.house.gov/view.xhtml?req=(title:41%20section:1703%20edition:prelim)%20OR%20(granuleid:USC-prelim-title41-section1703)&amp;f=treesort&amp;edition=prelim&amp;num=0&amp;jumpTo=true" TargetMode="External" Id="R0a77dd5b7ec3451d" /><Relationship Type="http://schemas.openxmlformats.org/officeDocument/2006/relationships/hyperlink" Target="https://uscode.house.gov/view.xhtml?req=(title:41%20section:3306%20edition:prelim)%20OR%20(granuleid:USC-prelim-title41-section3306)&amp;f=treesort&amp;edition=prelim&amp;num=0&amp;jumpTo=true" TargetMode="External" Id="Rfe8c4be445d44b18" /><Relationship Type="http://schemas.openxmlformats.org/officeDocument/2006/relationships/hyperlink" Target="https://uscode.house.gov/view.xhtml?req=(title:41%20section:3307%20edition:prelim)%20OR%20(granuleid:USC-prelim-title41-section3307)&amp;f=treesort&amp;edition=prelim&amp;num=0&amp;jumpTo=true" TargetMode="External" Id="Rcc18d816aa394342" /><Relationship Type="http://schemas.openxmlformats.org/officeDocument/2006/relationships/hyperlink" Target="https://uscode.house.gov/view.xhtml?req=(title:10%20section:3453%20edition:prelim)%20OR%20(granuleid:USC-prelim-title10-section3453)&amp;f=treesort&amp;edition=prelim&amp;num=0&amp;jumpTo=true" TargetMode="External" Id="R1e8624b32d8541be" /><Relationship Type="http://schemas.openxmlformats.org/officeDocument/2006/relationships/hyperlink" Target="https://uscode.house.gov/view.xhtml?req=(title:10%20section:3453%20edition:prelim)%20OR%20(granuleid:USC-prelim-title10-section3453)&amp;f=treesort&amp;edition=prelim&amp;num=0&amp;jumpTo=true" TargetMode="External" Id="R2cce01fcd85140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02651D74EB44996A62AA680831119" ma:contentTypeVersion="16" ma:contentTypeDescription="Create a new document." ma:contentTypeScope="" ma:versionID="c7884500ead83920b3a074c7cedd5f85">
  <xsd:schema xmlns:xsd="http://www.w3.org/2001/XMLSchema" xmlns:xs="http://www.w3.org/2001/XMLSchema" xmlns:p="http://schemas.microsoft.com/office/2006/metadata/properties" xmlns:ns1="http://schemas.microsoft.com/sharepoint/v3" xmlns:ns2="30d45850-cdab-4335-bbe4-3503319b96c0" xmlns:ns3="9c130270-ac7c-4497-90d6-17a43cdb195d" targetNamespace="http://schemas.microsoft.com/office/2006/metadata/properties" ma:root="true" ma:fieldsID="fd660174d6b8eafb7bd5a29e01d3bc46" ns1:_="" ns2:_="" ns3:_="">
    <xsd:import namespace="http://schemas.microsoft.com/sharepoint/v3"/>
    <xsd:import namespace="30d45850-cdab-4335-bbe4-3503319b96c0"/>
    <xsd:import namespace="9c130270-ac7c-4497-90d6-17a43cdb1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5850-cdab-4335-bbe4-3503319b9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0d4ad75-a42b-4783-84ed-a698db182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0270-ac7c-4497-90d6-17a43cdb19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7de5832-0273-4744-b85d-3042a10216c9}" ma:internalName="TaxCatchAll" ma:showField="CatchAllData" ma:web="9c130270-ac7c-4497-90d6-17a43cdb1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130270-ac7c-4497-90d6-17a43cdb195d" xsi:nil="true"/>
    <lcf76f155ced4ddcb4097134ff3c332f xmlns="30d45850-cdab-4335-bbe4-3503319b96c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9c130270-ac7c-4497-90d6-17a43cdb195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5C7B28-F72E-4B1D-A6D4-B93D22918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49425-8CA7-4385-A4F9-00DBBE66CBD4}"/>
</file>

<file path=customXml/itemProps3.xml><?xml version="1.0" encoding="utf-8"?>
<ds:datastoreItem xmlns:ds="http://schemas.openxmlformats.org/officeDocument/2006/customXml" ds:itemID="{34C22F13-56F7-4D21-9F1D-79F1614D50E1}">
  <ds:schemaRefs>
    <ds:schemaRef ds:uri="http://schemas.microsoft.com/office/2006/metadata/properties"/>
    <ds:schemaRef ds:uri="http://schemas.microsoft.com/office/infopath/2007/PartnerControls"/>
    <ds:schemaRef ds:uri="9cdfa8df-b8b4-43cb-8225-bf88ba9c224a"/>
    <ds:schemaRef ds:uri="6fbc7519-fbb7-41e7-ac0f-23e8c8c3387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U.S. Department of Commerce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Loveday, Marcelle (Federal)</dc:creator>
  <keywords/>
  <dc:description/>
  <lastModifiedBy>Loveday, Marcelle (Federal)</lastModifiedBy>
  <revision>5</revision>
  <dcterms:created xsi:type="dcterms:W3CDTF">2025-05-06T13:57:00.0000000Z</dcterms:created>
  <dcterms:modified xsi:type="dcterms:W3CDTF">2025-05-23T13:23:36.8651174Z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0x0101006AD02651D74EB44996A62AA680831119</vt:lpwstr>
  </property>
  <property fmtid="{D5CDD505-2E9C-101B-9397-08002B2CF9AE}" pid="3" name="MediaServiceImageTags">
    <vt:lpwstr/>
  </property>
  <property fmtid="{D5CDD505-2E9C-101B-9397-08002B2CF9AE}" pid="4" name="Order">
    <vt:r8>762000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