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798B4" w14:textId="77777777" w:rsidR="00ED4F57" w:rsidRDefault="00ED4F57" w:rsidP="00ED4F57">
      <w:pPr>
        <w:pStyle w:val="Title"/>
        <w:tabs>
          <w:tab w:val="left" w:pos="855"/>
        </w:tabs>
        <w:ind w:left="0" w:right="-2" w:firstLine="0"/>
      </w:pPr>
      <w:r>
        <w:rPr>
          <w:noProof/>
        </w:rPr>
        <w:drawing>
          <wp:anchor distT="0" distB="0" distL="114300" distR="114300" simplePos="0" relativeHeight="251659264" behindDoc="0" locked="0" layoutInCell="1" allowOverlap="1" wp14:anchorId="0F94B58E" wp14:editId="5705CC3F">
            <wp:simplePos x="0" y="0"/>
            <wp:positionH relativeFrom="margin">
              <wp:align>center</wp:align>
            </wp:positionH>
            <wp:positionV relativeFrom="paragraph">
              <wp:posOffset>-635</wp:posOffset>
            </wp:positionV>
            <wp:extent cx="886968" cy="886968"/>
            <wp:effectExtent l="0" t="0" r="8890" b="8890"/>
            <wp:wrapNone/>
            <wp:docPr id="470181787" name="Picture 3" descr="Department of Commerce logo | United States Department of Co…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partment of Commerce logo | United States Department of Co… | Flick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6968" cy="8869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CA0AB5" w14:textId="77777777" w:rsidR="00ED4F57" w:rsidRDefault="00ED4F57" w:rsidP="00ED4F57">
      <w:pPr>
        <w:pStyle w:val="Title"/>
        <w:tabs>
          <w:tab w:val="left" w:pos="855"/>
        </w:tabs>
        <w:ind w:left="0" w:right="-2" w:firstLine="0"/>
      </w:pPr>
    </w:p>
    <w:p w14:paraId="0E098904" w14:textId="77777777" w:rsidR="00ED4F57" w:rsidRDefault="00ED4F57" w:rsidP="00ED4F57">
      <w:pPr>
        <w:pStyle w:val="Title"/>
        <w:tabs>
          <w:tab w:val="left" w:pos="855"/>
        </w:tabs>
        <w:ind w:left="0" w:right="-2" w:firstLine="0"/>
        <w:jc w:val="center"/>
      </w:pPr>
      <w:r>
        <w:t>Accounting Principles and Standards Handbook</w:t>
      </w:r>
    </w:p>
    <w:p w14:paraId="1EDA07F7" w14:textId="23B61472" w:rsidR="00ED4F57" w:rsidRDefault="00ED4F57" w:rsidP="00ED4F57">
      <w:pPr>
        <w:pStyle w:val="Title"/>
        <w:tabs>
          <w:tab w:val="left" w:pos="855"/>
        </w:tabs>
        <w:ind w:left="0" w:right="-2" w:firstLine="0"/>
        <w:jc w:val="center"/>
      </w:pPr>
      <w:r>
        <w:t>Chapter 13: Grants and Subsidies</w:t>
      </w:r>
    </w:p>
    <w:p w14:paraId="2D705A56" w14:textId="77777777" w:rsidR="00ED4F57" w:rsidRDefault="00ED4F57" w:rsidP="00ED4F57">
      <w:pPr>
        <w:spacing w:before="285"/>
        <w:ind w:left="0" w:right="-2" w:firstLine="0"/>
        <w:jc w:val="center"/>
        <w:rPr>
          <w:b/>
          <w:spacing w:val="-2"/>
          <w:u w:val="thick"/>
        </w:rPr>
      </w:pPr>
      <w:r>
        <w:rPr>
          <w:b/>
          <w:u w:val="thick"/>
        </w:rPr>
        <w:t>Table</w:t>
      </w:r>
      <w:r>
        <w:rPr>
          <w:b/>
          <w:spacing w:val="-5"/>
          <w:u w:val="thick"/>
        </w:rPr>
        <w:t xml:space="preserve"> </w:t>
      </w:r>
      <w:r>
        <w:rPr>
          <w:b/>
          <w:u w:val="thick"/>
        </w:rPr>
        <w:t>of</w:t>
      </w:r>
      <w:r>
        <w:rPr>
          <w:b/>
          <w:spacing w:val="-6"/>
          <w:u w:val="thick"/>
        </w:rPr>
        <w:t xml:space="preserve"> </w:t>
      </w:r>
      <w:r>
        <w:rPr>
          <w:b/>
          <w:spacing w:val="-2"/>
          <w:u w:val="thick"/>
        </w:rPr>
        <w:t>Contents</w:t>
      </w:r>
    </w:p>
    <w:p w14:paraId="4A465348" w14:textId="7C896726" w:rsidR="00ED4F57" w:rsidRPr="00CF3BAB" w:rsidRDefault="00ED4F57" w:rsidP="00ED4F57">
      <w:pPr>
        <w:spacing w:before="240"/>
        <w:ind w:left="0" w:right="-2" w:firstLine="0"/>
        <w:rPr>
          <w:b/>
          <w:spacing w:val="-2"/>
          <w:u w:val="thick"/>
        </w:rPr>
      </w:pPr>
      <w:r w:rsidRPr="00F6358B">
        <w:rPr>
          <w:rFonts w:ascii="Arial" w:hAnsi="Arial" w:cs="Arial"/>
        </w:rPr>
        <w:t xml:space="preserve">Chapter 1: </w:t>
      </w:r>
      <w:r>
        <w:rPr>
          <w:rFonts w:ascii="Arial" w:hAnsi="Arial" w:cs="Arial"/>
        </w:rPr>
        <w:t>Grants and Subsidies</w:t>
      </w:r>
    </w:p>
    <w:p w14:paraId="06F5DA49" w14:textId="4B4831BC" w:rsidR="00ED4F57" w:rsidRPr="00F6358B" w:rsidRDefault="00ED4F57" w:rsidP="00ED4F57">
      <w:pPr>
        <w:spacing w:before="240" w:after="160" w:line="240" w:lineRule="auto"/>
        <w:ind w:left="360" w:right="0" w:firstLine="0"/>
        <w:rPr>
          <w:rFonts w:ascii="Arial" w:hAnsi="Arial" w:cs="Arial"/>
        </w:rPr>
      </w:pPr>
      <w:r>
        <w:rPr>
          <w:rFonts w:ascii="Arial" w:hAnsi="Arial" w:cs="Arial"/>
        </w:rPr>
        <w:t>Section 1: General</w:t>
      </w:r>
    </w:p>
    <w:p w14:paraId="20C3CFEE" w14:textId="58B93BAB" w:rsidR="00ED4F57" w:rsidRPr="00F6358B" w:rsidRDefault="00ED4F57" w:rsidP="00ED4F57">
      <w:pPr>
        <w:spacing w:before="240" w:after="160" w:line="240" w:lineRule="auto"/>
        <w:ind w:left="360" w:right="0" w:firstLine="0"/>
        <w:rPr>
          <w:rFonts w:ascii="Arial" w:hAnsi="Arial" w:cs="Arial"/>
        </w:rPr>
      </w:pPr>
      <w:r>
        <w:rPr>
          <w:rFonts w:ascii="Arial" w:hAnsi="Arial" w:cs="Arial"/>
        </w:rPr>
        <w:t>Section 2: Authority</w:t>
      </w:r>
    </w:p>
    <w:p w14:paraId="130C93C9" w14:textId="4392833D" w:rsidR="00ED4F57" w:rsidRPr="00F6358B" w:rsidRDefault="00ED4F57" w:rsidP="00ED4F57">
      <w:pPr>
        <w:spacing w:before="240" w:after="160" w:line="240" w:lineRule="auto"/>
        <w:ind w:left="360" w:right="0" w:firstLine="0"/>
        <w:rPr>
          <w:rFonts w:ascii="Arial" w:hAnsi="Arial" w:cs="Arial"/>
        </w:rPr>
      </w:pPr>
      <w:r>
        <w:rPr>
          <w:rFonts w:ascii="Arial" w:hAnsi="Arial" w:cs="Arial"/>
        </w:rPr>
        <w:t>Section 3: Definitions</w:t>
      </w:r>
    </w:p>
    <w:p w14:paraId="4DC72AA8" w14:textId="766DBD7D" w:rsidR="00ED4F57" w:rsidRDefault="00ED4F57" w:rsidP="00ED4F57">
      <w:pPr>
        <w:spacing w:before="240" w:after="160" w:line="240" w:lineRule="auto"/>
        <w:ind w:left="360" w:right="0" w:firstLine="0"/>
        <w:rPr>
          <w:rFonts w:ascii="Arial" w:hAnsi="Arial" w:cs="Arial"/>
        </w:rPr>
      </w:pPr>
      <w:r>
        <w:rPr>
          <w:rFonts w:ascii="Arial" w:hAnsi="Arial" w:cs="Arial"/>
        </w:rPr>
        <w:t xml:space="preserve">Section 4: </w:t>
      </w:r>
      <w:r w:rsidRPr="00ED4F57">
        <w:rPr>
          <w:rFonts w:ascii="Arial" w:hAnsi="Arial" w:cs="Arial"/>
        </w:rPr>
        <w:t>Accounting for Grants and Subsidies</w:t>
      </w:r>
    </w:p>
    <w:p w14:paraId="0960E340" w14:textId="698CAD7C" w:rsidR="00ED4F57" w:rsidRDefault="00ED4F57" w:rsidP="00ED4F57">
      <w:pPr>
        <w:tabs>
          <w:tab w:val="left" w:pos="720"/>
        </w:tabs>
        <w:spacing w:before="240" w:after="160" w:line="240" w:lineRule="auto"/>
        <w:ind w:left="720" w:right="0" w:firstLine="0"/>
        <w:rPr>
          <w:rFonts w:ascii="Arial" w:hAnsi="Arial" w:cs="Arial"/>
        </w:rPr>
      </w:pPr>
      <w:r>
        <w:rPr>
          <w:rFonts w:ascii="Arial" w:hAnsi="Arial" w:cs="Arial"/>
        </w:rPr>
        <w:t>4-1 Obligations</w:t>
      </w:r>
    </w:p>
    <w:p w14:paraId="6EDB3878" w14:textId="60BE9BB6" w:rsidR="00ED4F57" w:rsidRDefault="00ED4F57" w:rsidP="00ED4F57">
      <w:pPr>
        <w:tabs>
          <w:tab w:val="left" w:pos="720"/>
        </w:tabs>
        <w:spacing w:before="240" w:after="160" w:line="240" w:lineRule="auto"/>
        <w:ind w:left="720" w:right="0" w:firstLine="0"/>
        <w:rPr>
          <w:rFonts w:ascii="Arial" w:hAnsi="Arial" w:cs="Arial"/>
        </w:rPr>
      </w:pPr>
      <w:r>
        <w:rPr>
          <w:rFonts w:ascii="Arial" w:hAnsi="Arial" w:cs="Arial"/>
        </w:rPr>
        <w:t>4-2 Costs</w:t>
      </w:r>
    </w:p>
    <w:p w14:paraId="401F428E" w14:textId="063ACD46" w:rsidR="00ED4F57" w:rsidRDefault="00ED4F57" w:rsidP="00ED4F57">
      <w:pPr>
        <w:tabs>
          <w:tab w:val="left" w:pos="720"/>
        </w:tabs>
        <w:spacing w:before="240" w:after="160" w:line="240" w:lineRule="auto"/>
        <w:ind w:left="720" w:right="0" w:firstLine="0"/>
        <w:rPr>
          <w:rFonts w:ascii="Arial" w:hAnsi="Arial" w:cs="Arial"/>
        </w:rPr>
      </w:pPr>
      <w:r>
        <w:rPr>
          <w:rFonts w:ascii="Arial" w:hAnsi="Arial" w:cs="Arial"/>
        </w:rPr>
        <w:t>4-3 Subsidies</w:t>
      </w:r>
    </w:p>
    <w:p w14:paraId="272B5955" w14:textId="75C3FCB8" w:rsidR="00ED4F57" w:rsidRDefault="00ED4F57" w:rsidP="00ED4F57">
      <w:pPr>
        <w:tabs>
          <w:tab w:val="left" w:pos="720"/>
        </w:tabs>
        <w:spacing w:before="240" w:after="160" w:line="240" w:lineRule="auto"/>
        <w:ind w:left="720" w:right="0" w:firstLine="0"/>
        <w:rPr>
          <w:rFonts w:ascii="Arial" w:hAnsi="Arial" w:cs="Arial"/>
        </w:rPr>
      </w:pPr>
      <w:r>
        <w:rPr>
          <w:rFonts w:ascii="Arial" w:hAnsi="Arial" w:cs="Arial"/>
        </w:rPr>
        <w:t>4-4 Accrued Expenditures</w:t>
      </w:r>
    </w:p>
    <w:p w14:paraId="26DC0B87" w14:textId="6EFD6C7D" w:rsidR="00ED4F57" w:rsidRDefault="00ED4F57" w:rsidP="00ED4F57">
      <w:pPr>
        <w:tabs>
          <w:tab w:val="left" w:pos="720"/>
        </w:tabs>
        <w:spacing w:before="240" w:after="160" w:line="240" w:lineRule="auto"/>
        <w:ind w:left="720" w:right="0" w:firstLine="0"/>
        <w:rPr>
          <w:rFonts w:ascii="Arial" w:hAnsi="Arial" w:cs="Arial"/>
        </w:rPr>
      </w:pPr>
      <w:r>
        <w:rPr>
          <w:rFonts w:ascii="Arial" w:hAnsi="Arial" w:cs="Arial"/>
        </w:rPr>
        <w:t>4-5 Financial Statement Disclosure</w:t>
      </w:r>
    </w:p>
    <w:p w14:paraId="438FB6D2" w14:textId="7AD2587A" w:rsidR="00ED4F57" w:rsidRDefault="00ED4F57" w:rsidP="00ED4F57">
      <w:pPr>
        <w:spacing w:before="240" w:after="160" w:line="240" w:lineRule="auto"/>
        <w:ind w:left="360" w:right="0" w:firstLine="0"/>
        <w:rPr>
          <w:rFonts w:ascii="Arial" w:hAnsi="Arial" w:cs="Arial"/>
        </w:rPr>
      </w:pPr>
      <w:r>
        <w:rPr>
          <w:rFonts w:ascii="Arial" w:hAnsi="Arial" w:cs="Arial"/>
        </w:rPr>
        <w:t>Section 5: Advance Financing</w:t>
      </w:r>
    </w:p>
    <w:p w14:paraId="27977C76" w14:textId="778ED933" w:rsidR="00ED4F57" w:rsidRDefault="00ED4F57" w:rsidP="00ED4F57">
      <w:pPr>
        <w:spacing w:before="240" w:after="160" w:line="240" w:lineRule="auto"/>
        <w:ind w:left="360" w:right="0" w:firstLine="0"/>
        <w:rPr>
          <w:rFonts w:ascii="Arial" w:hAnsi="Arial" w:cs="Arial"/>
        </w:rPr>
      </w:pPr>
      <w:r>
        <w:rPr>
          <w:rFonts w:ascii="Arial" w:hAnsi="Arial" w:cs="Arial"/>
        </w:rPr>
        <w:t>Section 6: Grants Management</w:t>
      </w:r>
    </w:p>
    <w:p w14:paraId="5BD39C11" w14:textId="6B62BE6F" w:rsidR="00ED4F57" w:rsidRPr="006C0415" w:rsidRDefault="00ED4F57" w:rsidP="00ED4F57">
      <w:pPr>
        <w:spacing w:before="240" w:after="160" w:line="240" w:lineRule="auto"/>
        <w:ind w:left="360" w:right="0" w:firstLine="0"/>
        <w:rPr>
          <w:rFonts w:ascii="Arial" w:hAnsi="Arial" w:cs="Arial"/>
        </w:rPr>
      </w:pPr>
      <w:r>
        <w:rPr>
          <w:rFonts w:ascii="Arial" w:hAnsi="Arial" w:cs="Arial"/>
        </w:rPr>
        <w:t xml:space="preserve">Section 7: </w:t>
      </w:r>
      <w:r w:rsidRPr="00ED4F57">
        <w:rPr>
          <w:rFonts w:ascii="Arial" w:hAnsi="Arial" w:cs="Arial"/>
        </w:rPr>
        <w:t>Bureau Evaluations of Material or Significant Possible or Actual Unusual Accounting Transactions</w:t>
      </w:r>
    </w:p>
    <w:p w14:paraId="6CBC51A2" w14:textId="77777777" w:rsidR="00ED4F57" w:rsidRDefault="00ED4F57" w:rsidP="00ED4F57">
      <w:pPr>
        <w:spacing w:before="240" w:after="160" w:line="278" w:lineRule="auto"/>
        <w:ind w:left="0" w:right="0" w:firstLine="0"/>
      </w:pPr>
      <w:r>
        <w:br w:type="page"/>
      </w:r>
    </w:p>
    <w:p w14:paraId="51C4F9BF" w14:textId="3D6E604E" w:rsidR="005F05EB" w:rsidRDefault="00E70C01" w:rsidP="00ED4F57">
      <w:pPr>
        <w:pStyle w:val="Heading3"/>
        <w:tabs>
          <w:tab w:val="left" w:pos="924"/>
          <w:tab w:val="left" w:pos="927"/>
        </w:tabs>
        <w:spacing w:before="1"/>
        <w:ind w:left="0" w:right="769" w:firstLine="0"/>
      </w:pPr>
      <w:r w:rsidRPr="00ED4F57">
        <w:lastRenderedPageBreak/>
        <w:t xml:space="preserve">Section 1.0 </w:t>
      </w:r>
      <w:r w:rsidR="00ED4F57" w:rsidRPr="00ED4F57">
        <w:t xml:space="preserve">- </w:t>
      </w:r>
      <w:r w:rsidRPr="00ED4F57">
        <w:t>General</w:t>
      </w:r>
      <w:r>
        <w:t xml:space="preserve"> </w:t>
      </w:r>
    </w:p>
    <w:p w14:paraId="0CAE0874" w14:textId="77777777" w:rsidR="005F05EB" w:rsidRPr="00ED4F57" w:rsidRDefault="00E70C01">
      <w:pPr>
        <w:spacing w:line="259" w:lineRule="auto"/>
        <w:ind w:left="0" w:right="0" w:firstLine="0"/>
        <w:rPr>
          <w:rFonts w:ascii="Arial" w:hAnsi="Arial" w:cs="Arial"/>
        </w:rPr>
      </w:pPr>
      <w:r>
        <w:t xml:space="preserve"> </w:t>
      </w:r>
    </w:p>
    <w:p w14:paraId="0B870B7B" w14:textId="77777777" w:rsidR="005F05EB" w:rsidRPr="00ED4F57" w:rsidRDefault="00E70C01">
      <w:pPr>
        <w:ind w:left="0" w:right="0" w:firstLine="0"/>
        <w:rPr>
          <w:rFonts w:ascii="Arial" w:hAnsi="Arial" w:cs="Arial"/>
        </w:rPr>
      </w:pPr>
      <w:r w:rsidRPr="00ED4F57">
        <w:rPr>
          <w:rFonts w:ascii="Arial" w:hAnsi="Arial" w:cs="Arial"/>
        </w:rPr>
        <w:t xml:space="preserve">This Chapter provides general guidance on accounting for grants and subsidies awarded to institutions of higher education, hospitals, other non-profit, and commercial organizations.  The following are Commerce’s bureaus involved with grants, subsidies, and contributions: </w:t>
      </w:r>
    </w:p>
    <w:p w14:paraId="56D03025" w14:textId="77777777" w:rsidR="005F05EB" w:rsidRPr="00ED4F57" w:rsidRDefault="00E70C01">
      <w:pPr>
        <w:spacing w:line="259" w:lineRule="auto"/>
        <w:ind w:left="0" w:right="0" w:firstLine="0"/>
        <w:rPr>
          <w:rFonts w:ascii="Arial" w:hAnsi="Arial" w:cs="Arial"/>
        </w:rPr>
      </w:pPr>
      <w:r w:rsidRPr="00ED4F57">
        <w:rPr>
          <w:rFonts w:ascii="Arial" w:hAnsi="Arial" w:cs="Arial"/>
        </w:rPr>
        <w:t xml:space="preserve"> </w:t>
      </w:r>
    </w:p>
    <w:p w14:paraId="0BD3D9B4" w14:textId="77777777" w:rsidR="005F05EB" w:rsidRPr="00ED4F57" w:rsidRDefault="00E70C01">
      <w:pPr>
        <w:numPr>
          <w:ilvl w:val="0"/>
          <w:numId w:val="1"/>
        </w:numPr>
        <w:ind w:right="0" w:hanging="360"/>
        <w:rPr>
          <w:rFonts w:ascii="Arial" w:hAnsi="Arial" w:cs="Arial"/>
        </w:rPr>
      </w:pPr>
      <w:r w:rsidRPr="00ED4F57">
        <w:rPr>
          <w:rFonts w:ascii="Arial" w:hAnsi="Arial" w:cs="Arial"/>
        </w:rPr>
        <w:t xml:space="preserve">The Economic Development Administration (EDA) provides grants for public works and development facilities, and other financial assistance needed to alleviate hardships in economically distressed areas and </w:t>
      </w:r>
      <w:proofErr w:type="gramStart"/>
      <w:r w:rsidRPr="00ED4F57">
        <w:rPr>
          <w:rFonts w:ascii="Arial" w:hAnsi="Arial" w:cs="Arial"/>
        </w:rPr>
        <w:t>regions;</w:t>
      </w:r>
      <w:proofErr w:type="gramEnd"/>
      <w:r w:rsidRPr="00ED4F57">
        <w:rPr>
          <w:rFonts w:ascii="Arial" w:hAnsi="Arial" w:cs="Arial"/>
        </w:rPr>
        <w:t xml:space="preserve"> </w:t>
      </w:r>
    </w:p>
    <w:p w14:paraId="59539532" w14:textId="77777777" w:rsidR="005F05EB" w:rsidRPr="00ED4F57" w:rsidRDefault="00E70C01">
      <w:pPr>
        <w:spacing w:line="259" w:lineRule="auto"/>
        <w:ind w:left="720" w:right="0" w:firstLine="0"/>
        <w:rPr>
          <w:rFonts w:ascii="Arial" w:hAnsi="Arial" w:cs="Arial"/>
        </w:rPr>
      </w:pPr>
      <w:r w:rsidRPr="00ED4F57">
        <w:rPr>
          <w:rFonts w:ascii="Arial" w:hAnsi="Arial" w:cs="Arial"/>
        </w:rPr>
        <w:t xml:space="preserve"> </w:t>
      </w:r>
    </w:p>
    <w:p w14:paraId="768F91F4" w14:textId="77777777" w:rsidR="005F05EB" w:rsidRPr="00ED4F57" w:rsidRDefault="00E70C01">
      <w:pPr>
        <w:numPr>
          <w:ilvl w:val="0"/>
          <w:numId w:val="1"/>
        </w:numPr>
        <w:ind w:right="0" w:hanging="360"/>
        <w:rPr>
          <w:rFonts w:ascii="Arial" w:hAnsi="Arial" w:cs="Arial"/>
        </w:rPr>
      </w:pPr>
      <w:r w:rsidRPr="00ED4F57">
        <w:rPr>
          <w:rFonts w:ascii="Arial" w:hAnsi="Arial" w:cs="Arial"/>
        </w:rPr>
        <w:t xml:space="preserve">The International Trade Administration (ITA) issues grants and cooperative agreements for the purpose of promoting exports of U.S. </w:t>
      </w:r>
      <w:proofErr w:type="gramStart"/>
      <w:r w:rsidRPr="00ED4F57">
        <w:rPr>
          <w:rFonts w:ascii="Arial" w:hAnsi="Arial" w:cs="Arial"/>
        </w:rPr>
        <w:t>firms;</w:t>
      </w:r>
      <w:proofErr w:type="gramEnd"/>
      <w:r w:rsidRPr="00ED4F57">
        <w:rPr>
          <w:rFonts w:ascii="Arial" w:hAnsi="Arial" w:cs="Arial"/>
        </w:rPr>
        <w:t xml:space="preserve"> </w:t>
      </w:r>
    </w:p>
    <w:p w14:paraId="7CDF21F7" w14:textId="77777777" w:rsidR="005F05EB" w:rsidRPr="00ED4F57" w:rsidRDefault="00E70C01">
      <w:pPr>
        <w:spacing w:line="259" w:lineRule="auto"/>
        <w:ind w:left="720" w:right="0" w:firstLine="0"/>
        <w:rPr>
          <w:rFonts w:ascii="Arial" w:hAnsi="Arial" w:cs="Arial"/>
        </w:rPr>
      </w:pPr>
      <w:r w:rsidRPr="00ED4F57">
        <w:rPr>
          <w:rFonts w:ascii="Arial" w:hAnsi="Arial" w:cs="Arial"/>
        </w:rPr>
        <w:t xml:space="preserve"> </w:t>
      </w:r>
    </w:p>
    <w:p w14:paraId="17270954" w14:textId="77777777" w:rsidR="005F05EB" w:rsidRPr="00ED4F57" w:rsidRDefault="00E70C01">
      <w:pPr>
        <w:numPr>
          <w:ilvl w:val="0"/>
          <w:numId w:val="1"/>
        </w:numPr>
        <w:ind w:right="0" w:hanging="360"/>
        <w:rPr>
          <w:rFonts w:ascii="Arial" w:hAnsi="Arial" w:cs="Arial"/>
        </w:rPr>
      </w:pPr>
      <w:r w:rsidRPr="00ED4F57">
        <w:rPr>
          <w:rFonts w:ascii="Arial" w:hAnsi="Arial" w:cs="Arial"/>
        </w:rPr>
        <w:t xml:space="preserve">The Minority Business Development Agency (MBDA) promotes private and public sector investment in the development of competitive minority-owned businesses in this </w:t>
      </w:r>
      <w:proofErr w:type="gramStart"/>
      <w:r w:rsidRPr="00ED4F57">
        <w:rPr>
          <w:rFonts w:ascii="Arial" w:hAnsi="Arial" w:cs="Arial"/>
        </w:rPr>
        <w:t>country;</w:t>
      </w:r>
      <w:proofErr w:type="gramEnd"/>
      <w:r w:rsidRPr="00ED4F57">
        <w:rPr>
          <w:rFonts w:ascii="Arial" w:hAnsi="Arial" w:cs="Arial"/>
        </w:rPr>
        <w:t xml:space="preserve"> </w:t>
      </w:r>
    </w:p>
    <w:p w14:paraId="4F9D9416" w14:textId="77777777" w:rsidR="005F05EB" w:rsidRPr="00ED4F57" w:rsidRDefault="00E70C01">
      <w:pPr>
        <w:spacing w:line="259" w:lineRule="auto"/>
        <w:ind w:left="720" w:right="0" w:firstLine="0"/>
        <w:rPr>
          <w:rFonts w:ascii="Arial" w:hAnsi="Arial" w:cs="Arial"/>
        </w:rPr>
      </w:pPr>
      <w:r w:rsidRPr="00ED4F57">
        <w:rPr>
          <w:rFonts w:ascii="Arial" w:hAnsi="Arial" w:cs="Arial"/>
        </w:rPr>
        <w:t xml:space="preserve"> </w:t>
      </w:r>
    </w:p>
    <w:p w14:paraId="6B46EF26" w14:textId="77777777" w:rsidR="005F05EB" w:rsidRPr="00ED4F57" w:rsidRDefault="00E70C01">
      <w:pPr>
        <w:numPr>
          <w:ilvl w:val="0"/>
          <w:numId w:val="1"/>
        </w:numPr>
        <w:ind w:right="0" w:hanging="360"/>
        <w:rPr>
          <w:rFonts w:ascii="Arial" w:hAnsi="Arial" w:cs="Arial"/>
        </w:rPr>
      </w:pPr>
      <w:r w:rsidRPr="00ED4F57">
        <w:rPr>
          <w:rFonts w:ascii="Arial" w:hAnsi="Arial" w:cs="Arial"/>
        </w:rPr>
        <w:t xml:space="preserve">The National Institute of Standards and Technology (NIST) supports the extension of technology to American industry and fosters the development of </w:t>
      </w:r>
      <w:proofErr w:type="gramStart"/>
      <w:r w:rsidRPr="00ED4F57">
        <w:rPr>
          <w:rFonts w:ascii="Arial" w:hAnsi="Arial" w:cs="Arial"/>
        </w:rPr>
        <w:t>broad based high risk</w:t>
      </w:r>
      <w:proofErr w:type="gramEnd"/>
      <w:r w:rsidRPr="00ED4F57">
        <w:rPr>
          <w:rFonts w:ascii="Arial" w:hAnsi="Arial" w:cs="Arial"/>
        </w:rPr>
        <w:t xml:space="preserve"> technology by industry; </w:t>
      </w:r>
    </w:p>
    <w:p w14:paraId="1B5178DF" w14:textId="77777777" w:rsidR="005F05EB" w:rsidRPr="00ED4F57" w:rsidRDefault="00E70C01">
      <w:pPr>
        <w:spacing w:line="259" w:lineRule="auto"/>
        <w:ind w:left="720" w:right="0" w:firstLine="0"/>
        <w:rPr>
          <w:rFonts w:ascii="Arial" w:hAnsi="Arial" w:cs="Arial"/>
        </w:rPr>
      </w:pPr>
      <w:r w:rsidRPr="00ED4F57">
        <w:rPr>
          <w:rFonts w:ascii="Arial" w:hAnsi="Arial" w:cs="Arial"/>
        </w:rPr>
        <w:t xml:space="preserve"> </w:t>
      </w:r>
    </w:p>
    <w:p w14:paraId="1F96C46D" w14:textId="77777777" w:rsidR="005F05EB" w:rsidRPr="00ED4F57" w:rsidRDefault="00E70C01">
      <w:pPr>
        <w:numPr>
          <w:ilvl w:val="0"/>
          <w:numId w:val="1"/>
        </w:numPr>
        <w:ind w:right="0" w:hanging="360"/>
        <w:rPr>
          <w:rFonts w:ascii="Arial" w:hAnsi="Arial" w:cs="Arial"/>
        </w:rPr>
      </w:pPr>
      <w:r w:rsidRPr="00ED4F57">
        <w:rPr>
          <w:rFonts w:ascii="Arial" w:hAnsi="Arial" w:cs="Arial"/>
        </w:rPr>
        <w:t xml:space="preserve">The National Oceanic and Atmospheric Administration (NOAA) issues grants and subsidies to support Coastal Zone Management Programs.  It also supports efforts to enhance the productivity and improve the sustainable yield of domestic marine fisheries resources; and </w:t>
      </w:r>
    </w:p>
    <w:p w14:paraId="75FA5306" w14:textId="77777777" w:rsidR="005F05EB" w:rsidRPr="00ED4F57" w:rsidRDefault="00E70C01">
      <w:pPr>
        <w:spacing w:line="259" w:lineRule="auto"/>
        <w:ind w:left="720" w:right="0" w:firstLine="0"/>
        <w:rPr>
          <w:rFonts w:ascii="Arial" w:hAnsi="Arial" w:cs="Arial"/>
        </w:rPr>
      </w:pPr>
      <w:r w:rsidRPr="00ED4F57">
        <w:rPr>
          <w:rFonts w:ascii="Arial" w:hAnsi="Arial" w:cs="Arial"/>
        </w:rPr>
        <w:t xml:space="preserve"> </w:t>
      </w:r>
    </w:p>
    <w:p w14:paraId="1F500DAF" w14:textId="77777777" w:rsidR="005F05EB" w:rsidRPr="00ED4F57" w:rsidRDefault="00E70C01">
      <w:pPr>
        <w:numPr>
          <w:ilvl w:val="0"/>
          <w:numId w:val="1"/>
        </w:numPr>
        <w:ind w:right="0" w:hanging="360"/>
        <w:rPr>
          <w:rFonts w:ascii="Arial" w:hAnsi="Arial" w:cs="Arial"/>
        </w:rPr>
      </w:pPr>
      <w:r w:rsidRPr="00ED4F57">
        <w:rPr>
          <w:rFonts w:ascii="Arial" w:hAnsi="Arial" w:cs="Arial"/>
        </w:rPr>
        <w:t xml:space="preserve">The National Telecommunications and Information Administration (NTIA) awards grants to noncommercial entities for the planning and construction of public broadcasting facilities throughout the United States.  It also provides financial assistance for the development of the National Telecommunications and Information Infrastructure. </w:t>
      </w:r>
    </w:p>
    <w:p w14:paraId="5D29B9D4" w14:textId="77777777" w:rsidR="005F05EB" w:rsidRPr="00ED4F57" w:rsidRDefault="00E70C01">
      <w:pPr>
        <w:spacing w:line="259" w:lineRule="auto"/>
        <w:ind w:left="0" w:right="0" w:firstLine="0"/>
        <w:rPr>
          <w:rFonts w:ascii="Arial" w:hAnsi="Arial" w:cs="Arial"/>
        </w:rPr>
      </w:pPr>
      <w:r w:rsidRPr="00ED4F57">
        <w:rPr>
          <w:rFonts w:ascii="Arial" w:hAnsi="Arial" w:cs="Arial"/>
        </w:rPr>
        <w:t xml:space="preserve"> </w:t>
      </w:r>
    </w:p>
    <w:p w14:paraId="24CAF041" w14:textId="77777777" w:rsidR="005F05EB" w:rsidRPr="00ED4F57" w:rsidRDefault="00E70C01">
      <w:pPr>
        <w:spacing w:line="259" w:lineRule="auto"/>
        <w:ind w:left="0" w:right="0" w:firstLine="0"/>
        <w:rPr>
          <w:rFonts w:ascii="Arial" w:hAnsi="Arial" w:cs="Arial"/>
        </w:rPr>
      </w:pPr>
      <w:r w:rsidRPr="00ED4F57">
        <w:rPr>
          <w:rFonts w:ascii="Arial" w:hAnsi="Arial" w:cs="Arial"/>
        </w:rPr>
        <w:t xml:space="preserve"> </w:t>
      </w:r>
    </w:p>
    <w:p w14:paraId="186FB938" w14:textId="77777777" w:rsidR="005F05EB" w:rsidRPr="00ED4F57" w:rsidRDefault="00E70C01">
      <w:pPr>
        <w:spacing w:line="259" w:lineRule="auto"/>
        <w:ind w:left="0" w:right="0" w:firstLine="0"/>
        <w:rPr>
          <w:rFonts w:ascii="Arial" w:hAnsi="Arial" w:cs="Arial"/>
        </w:rPr>
      </w:pPr>
      <w:r w:rsidRPr="00ED4F57">
        <w:rPr>
          <w:rFonts w:ascii="Arial" w:hAnsi="Arial" w:cs="Arial"/>
        </w:rPr>
        <w:t xml:space="preserve"> </w:t>
      </w:r>
    </w:p>
    <w:p w14:paraId="11215763" w14:textId="77777777" w:rsidR="005F05EB" w:rsidRPr="00ED4F57" w:rsidRDefault="00E70C01">
      <w:pPr>
        <w:spacing w:line="259" w:lineRule="auto"/>
        <w:ind w:left="0" w:right="0" w:firstLine="0"/>
        <w:rPr>
          <w:rFonts w:ascii="Arial" w:hAnsi="Arial" w:cs="Arial"/>
        </w:rPr>
      </w:pPr>
      <w:r w:rsidRPr="00ED4F57">
        <w:rPr>
          <w:rFonts w:ascii="Arial" w:hAnsi="Arial" w:cs="Arial"/>
        </w:rPr>
        <w:t xml:space="preserve"> </w:t>
      </w:r>
    </w:p>
    <w:p w14:paraId="472233BA" w14:textId="77777777" w:rsidR="005F05EB" w:rsidRPr="00ED4F57" w:rsidRDefault="00E70C01">
      <w:pPr>
        <w:spacing w:line="259" w:lineRule="auto"/>
        <w:ind w:left="0" w:right="0" w:firstLine="0"/>
        <w:rPr>
          <w:rFonts w:ascii="Arial" w:hAnsi="Arial" w:cs="Arial"/>
        </w:rPr>
      </w:pPr>
      <w:r w:rsidRPr="00ED4F57">
        <w:rPr>
          <w:rFonts w:ascii="Arial" w:hAnsi="Arial" w:cs="Arial"/>
        </w:rPr>
        <w:t xml:space="preserve"> </w:t>
      </w:r>
    </w:p>
    <w:p w14:paraId="06273A58" w14:textId="77777777" w:rsidR="005F05EB" w:rsidRPr="00ED4F57" w:rsidRDefault="00E70C01">
      <w:pPr>
        <w:spacing w:line="259" w:lineRule="auto"/>
        <w:ind w:left="0" w:right="0" w:firstLine="0"/>
        <w:rPr>
          <w:rFonts w:ascii="Arial" w:hAnsi="Arial" w:cs="Arial"/>
        </w:rPr>
      </w:pPr>
      <w:r w:rsidRPr="00ED4F57">
        <w:rPr>
          <w:rFonts w:ascii="Arial" w:hAnsi="Arial" w:cs="Arial"/>
        </w:rPr>
        <w:t xml:space="preserve"> </w:t>
      </w:r>
    </w:p>
    <w:p w14:paraId="29F5F84B" w14:textId="77777777" w:rsidR="005F05EB" w:rsidRPr="00ED4F57" w:rsidRDefault="00E70C01">
      <w:pPr>
        <w:spacing w:line="259" w:lineRule="auto"/>
        <w:ind w:left="0" w:right="0" w:firstLine="0"/>
        <w:rPr>
          <w:rFonts w:ascii="Arial" w:hAnsi="Arial" w:cs="Arial"/>
        </w:rPr>
      </w:pPr>
      <w:r w:rsidRPr="00ED4F57">
        <w:rPr>
          <w:rFonts w:ascii="Arial" w:hAnsi="Arial" w:cs="Arial"/>
        </w:rPr>
        <w:t xml:space="preserve"> </w:t>
      </w:r>
    </w:p>
    <w:p w14:paraId="5C43232C" w14:textId="77777777" w:rsidR="005F05EB" w:rsidRPr="00ED4F57" w:rsidRDefault="00E70C01">
      <w:pPr>
        <w:spacing w:line="259" w:lineRule="auto"/>
        <w:ind w:left="0" w:right="0" w:firstLine="0"/>
        <w:rPr>
          <w:rFonts w:ascii="Arial" w:hAnsi="Arial" w:cs="Arial"/>
        </w:rPr>
      </w:pPr>
      <w:r w:rsidRPr="00ED4F57">
        <w:rPr>
          <w:rFonts w:ascii="Arial" w:hAnsi="Arial" w:cs="Arial"/>
        </w:rPr>
        <w:t xml:space="preserve"> </w:t>
      </w:r>
    </w:p>
    <w:p w14:paraId="16A9253B" w14:textId="77777777" w:rsidR="005F05EB" w:rsidRPr="00ED4F57" w:rsidRDefault="00E70C01">
      <w:pPr>
        <w:spacing w:line="259" w:lineRule="auto"/>
        <w:ind w:left="0" w:right="0" w:firstLine="0"/>
        <w:rPr>
          <w:rFonts w:ascii="Arial" w:hAnsi="Arial" w:cs="Arial"/>
        </w:rPr>
      </w:pPr>
      <w:r w:rsidRPr="00ED4F57">
        <w:rPr>
          <w:rFonts w:ascii="Arial" w:hAnsi="Arial" w:cs="Arial"/>
        </w:rPr>
        <w:t xml:space="preserve"> </w:t>
      </w:r>
    </w:p>
    <w:p w14:paraId="7205FE87" w14:textId="1E629EC3" w:rsidR="005F05EB" w:rsidRDefault="00E70C01" w:rsidP="00ED4F57">
      <w:pPr>
        <w:pStyle w:val="Heading3"/>
        <w:tabs>
          <w:tab w:val="left" w:pos="924"/>
          <w:tab w:val="left" w:pos="927"/>
        </w:tabs>
        <w:spacing w:before="1"/>
        <w:ind w:left="0" w:right="769" w:firstLine="0"/>
      </w:pPr>
      <w:r w:rsidRPr="00ED4F57">
        <w:lastRenderedPageBreak/>
        <w:t xml:space="preserve">Section 2.0 </w:t>
      </w:r>
      <w:r w:rsidR="00ED4F57">
        <w:t xml:space="preserve">- </w:t>
      </w:r>
      <w:r w:rsidRPr="00ED4F57">
        <w:t>Authority</w:t>
      </w:r>
      <w:r>
        <w:t xml:space="preserve"> </w:t>
      </w:r>
    </w:p>
    <w:p w14:paraId="6B0286CA" w14:textId="77777777" w:rsidR="005F05EB" w:rsidRDefault="00E70C01">
      <w:pPr>
        <w:spacing w:line="259" w:lineRule="auto"/>
        <w:ind w:left="0" w:right="0" w:firstLine="0"/>
      </w:pPr>
      <w:r>
        <w:t xml:space="preserve"> </w:t>
      </w:r>
    </w:p>
    <w:p w14:paraId="5AF9D610" w14:textId="77777777" w:rsidR="005F05EB" w:rsidRPr="00ED4F57" w:rsidRDefault="00E70C01">
      <w:pPr>
        <w:ind w:left="0" w:right="0" w:firstLine="0"/>
        <w:rPr>
          <w:rFonts w:ascii="Arial" w:hAnsi="Arial" w:cs="Arial"/>
        </w:rPr>
      </w:pPr>
      <w:r w:rsidRPr="00ED4F57">
        <w:rPr>
          <w:rFonts w:ascii="Arial" w:hAnsi="Arial" w:cs="Arial"/>
        </w:rPr>
        <w:t xml:space="preserve">The policies and procedures contained in this Chapter are issued pursuant to the following laws, regulations, and guidelines: </w:t>
      </w:r>
    </w:p>
    <w:p w14:paraId="3D960632" w14:textId="77777777" w:rsidR="005F05EB" w:rsidRPr="00ED4F57" w:rsidRDefault="00E70C01">
      <w:pPr>
        <w:spacing w:line="259" w:lineRule="auto"/>
        <w:ind w:left="0" w:right="0" w:firstLine="0"/>
        <w:rPr>
          <w:rFonts w:ascii="Arial" w:hAnsi="Arial" w:cs="Arial"/>
        </w:rPr>
      </w:pPr>
      <w:r w:rsidRPr="00ED4F57">
        <w:rPr>
          <w:rFonts w:ascii="Arial" w:hAnsi="Arial" w:cs="Arial"/>
        </w:rPr>
        <w:t xml:space="preserve"> </w:t>
      </w:r>
    </w:p>
    <w:p w14:paraId="3F787299" w14:textId="77777777" w:rsidR="005F05EB" w:rsidRPr="00ED4F57" w:rsidRDefault="00D36FAB">
      <w:pPr>
        <w:numPr>
          <w:ilvl w:val="0"/>
          <w:numId w:val="2"/>
        </w:numPr>
        <w:ind w:right="0" w:hanging="360"/>
        <w:rPr>
          <w:rFonts w:ascii="Arial" w:hAnsi="Arial" w:cs="Arial"/>
        </w:rPr>
      </w:pPr>
      <w:hyperlink r:id="rId8">
        <w:r w:rsidR="00E70C01" w:rsidRPr="00ED4F57">
          <w:rPr>
            <w:rFonts w:ascii="Arial" w:hAnsi="Arial" w:cs="Arial"/>
            <w:color w:val="0000FF"/>
            <w:u w:val="single" w:color="0000FF"/>
          </w:rPr>
          <w:t>CFR, Title 2, Grants and Agreements (2 CFR)</w:t>
        </w:r>
      </w:hyperlink>
      <w:hyperlink r:id="rId9">
        <w:r w:rsidR="00E70C01" w:rsidRPr="00ED4F57">
          <w:rPr>
            <w:rFonts w:ascii="Arial" w:hAnsi="Arial" w:cs="Arial"/>
          </w:rPr>
          <w:t>;</w:t>
        </w:r>
      </w:hyperlink>
      <w:r w:rsidR="00E70C01" w:rsidRPr="00ED4F57">
        <w:rPr>
          <w:rFonts w:ascii="Arial" w:hAnsi="Arial" w:cs="Arial"/>
        </w:rPr>
        <w:t xml:space="preserve"> </w:t>
      </w:r>
    </w:p>
    <w:p w14:paraId="0AD12789" w14:textId="77777777" w:rsidR="005F05EB" w:rsidRPr="00ED4F57" w:rsidRDefault="00E70C01">
      <w:pPr>
        <w:spacing w:line="259" w:lineRule="auto"/>
        <w:ind w:left="720" w:right="0" w:firstLine="0"/>
        <w:rPr>
          <w:rFonts w:ascii="Arial" w:hAnsi="Arial" w:cs="Arial"/>
        </w:rPr>
      </w:pPr>
      <w:r w:rsidRPr="00ED4F57">
        <w:rPr>
          <w:rFonts w:ascii="Arial" w:hAnsi="Arial" w:cs="Arial"/>
        </w:rPr>
        <w:t xml:space="preserve"> </w:t>
      </w:r>
    </w:p>
    <w:p w14:paraId="14E65EFB" w14:textId="77777777" w:rsidR="005F05EB" w:rsidRPr="00ED4F57" w:rsidRDefault="00D36FAB">
      <w:pPr>
        <w:numPr>
          <w:ilvl w:val="0"/>
          <w:numId w:val="2"/>
        </w:numPr>
        <w:ind w:right="0" w:hanging="360"/>
        <w:rPr>
          <w:rFonts w:ascii="Arial" w:hAnsi="Arial" w:cs="Arial"/>
        </w:rPr>
      </w:pPr>
      <w:hyperlink r:id="rId10">
        <w:r w:rsidR="00E70C01" w:rsidRPr="00ED4F57">
          <w:rPr>
            <w:rFonts w:ascii="Arial" w:hAnsi="Arial" w:cs="Arial"/>
            <w:color w:val="0000FF"/>
            <w:u w:val="single" w:color="0000FF"/>
          </w:rPr>
          <w:t>Department Administrative Order (DAO) 203-26, Department of Commerce</w:t>
        </w:r>
      </w:hyperlink>
      <w:hyperlink r:id="rId11">
        <w:r w:rsidR="00E70C01" w:rsidRPr="00ED4F57">
          <w:rPr>
            <w:rFonts w:ascii="Arial" w:hAnsi="Arial" w:cs="Arial"/>
            <w:color w:val="0000FF"/>
          </w:rPr>
          <w:t xml:space="preserve"> </w:t>
        </w:r>
      </w:hyperlink>
      <w:hyperlink r:id="rId12">
        <w:r w:rsidR="00E70C01" w:rsidRPr="00ED4F57">
          <w:rPr>
            <w:rFonts w:ascii="Arial" w:hAnsi="Arial" w:cs="Arial"/>
            <w:color w:val="0000FF"/>
            <w:u w:val="single" w:color="0000FF"/>
          </w:rPr>
          <w:t>Grants Administration</w:t>
        </w:r>
      </w:hyperlink>
      <w:hyperlink r:id="rId13">
        <w:r w:rsidR="00E70C01" w:rsidRPr="00ED4F57">
          <w:rPr>
            <w:rFonts w:ascii="Arial" w:hAnsi="Arial" w:cs="Arial"/>
          </w:rPr>
          <w:t>;</w:t>
        </w:r>
      </w:hyperlink>
      <w:r w:rsidR="00E70C01" w:rsidRPr="00ED4F57">
        <w:rPr>
          <w:rFonts w:ascii="Arial" w:hAnsi="Arial" w:cs="Arial"/>
        </w:rPr>
        <w:t xml:space="preserve"> </w:t>
      </w:r>
    </w:p>
    <w:p w14:paraId="64D67D1A" w14:textId="77777777" w:rsidR="005F05EB" w:rsidRPr="00ED4F57" w:rsidRDefault="00E70C01">
      <w:pPr>
        <w:spacing w:line="259" w:lineRule="auto"/>
        <w:ind w:left="0" w:right="0" w:firstLine="0"/>
        <w:rPr>
          <w:rFonts w:ascii="Arial" w:hAnsi="Arial" w:cs="Arial"/>
        </w:rPr>
      </w:pPr>
      <w:r w:rsidRPr="00ED4F57">
        <w:rPr>
          <w:rFonts w:ascii="Arial" w:hAnsi="Arial" w:cs="Arial"/>
        </w:rPr>
        <w:t xml:space="preserve"> </w:t>
      </w:r>
    </w:p>
    <w:p w14:paraId="138A37F3" w14:textId="77777777" w:rsidR="005F05EB" w:rsidRPr="00ED4F57" w:rsidRDefault="00D36FAB">
      <w:pPr>
        <w:numPr>
          <w:ilvl w:val="0"/>
          <w:numId w:val="2"/>
        </w:numPr>
        <w:ind w:right="0" w:hanging="360"/>
        <w:rPr>
          <w:rFonts w:ascii="Arial" w:hAnsi="Arial" w:cs="Arial"/>
        </w:rPr>
      </w:pPr>
      <w:hyperlink r:id="rId14">
        <w:r w:rsidR="00E70C01" w:rsidRPr="00ED4F57">
          <w:rPr>
            <w:rFonts w:ascii="Arial" w:hAnsi="Arial" w:cs="Arial"/>
            <w:color w:val="0000FF"/>
            <w:u w:val="single" w:color="0000FF"/>
          </w:rPr>
          <w:t>GAO Principles, Standards, and Requirements, Title 2 Standards Not</w:t>
        </w:r>
      </w:hyperlink>
      <w:hyperlink r:id="rId15">
        <w:r w:rsidR="00E70C01" w:rsidRPr="00ED4F57">
          <w:rPr>
            <w:rFonts w:ascii="Arial" w:hAnsi="Arial" w:cs="Arial"/>
            <w:color w:val="0000FF"/>
          </w:rPr>
          <w:t xml:space="preserve"> </w:t>
        </w:r>
      </w:hyperlink>
      <w:hyperlink r:id="rId16">
        <w:r w:rsidR="00E70C01" w:rsidRPr="00ED4F57">
          <w:rPr>
            <w:rFonts w:ascii="Arial" w:hAnsi="Arial" w:cs="Arial"/>
            <w:color w:val="0000FF"/>
            <w:u w:val="single" w:color="0000FF"/>
          </w:rPr>
          <w:t>Superseded by FASAB, Standard G10</w:t>
        </w:r>
      </w:hyperlink>
      <w:hyperlink r:id="rId17">
        <w:r w:rsidR="00E70C01" w:rsidRPr="00ED4F57">
          <w:rPr>
            <w:rFonts w:ascii="Arial" w:hAnsi="Arial" w:cs="Arial"/>
          </w:rPr>
          <w:t>;</w:t>
        </w:r>
      </w:hyperlink>
      <w:r w:rsidR="00E70C01" w:rsidRPr="00ED4F57">
        <w:rPr>
          <w:rFonts w:ascii="Arial" w:hAnsi="Arial" w:cs="Arial"/>
        </w:rPr>
        <w:t xml:space="preserve"> </w:t>
      </w:r>
    </w:p>
    <w:p w14:paraId="38910F2A" w14:textId="77777777" w:rsidR="005F05EB" w:rsidRPr="00ED4F57" w:rsidRDefault="00E70C01">
      <w:pPr>
        <w:spacing w:line="259" w:lineRule="auto"/>
        <w:ind w:left="0" w:right="0" w:firstLine="0"/>
        <w:rPr>
          <w:rFonts w:ascii="Arial" w:hAnsi="Arial" w:cs="Arial"/>
        </w:rPr>
      </w:pPr>
      <w:r w:rsidRPr="00ED4F57">
        <w:rPr>
          <w:rFonts w:ascii="Arial" w:hAnsi="Arial" w:cs="Arial"/>
        </w:rPr>
        <w:t xml:space="preserve"> </w:t>
      </w:r>
    </w:p>
    <w:p w14:paraId="2FFF8657" w14:textId="77777777" w:rsidR="005F05EB" w:rsidRPr="00ED4F57" w:rsidRDefault="00D36FAB">
      <w:pPr>
        <w:numPr>
          <w:ilvl w:val="0"/>
          <w:numId w:val="2"/>
        </w:numPr>
        <w:ind w:right="0" w:hanging="360"/>
        <w:rPr>
          <w:rFonts w:ascii="Arial" w:hAnsi="Arial" w:cs="Arial"/>
        </w:rPr>
      </w:pPr>
      <w:hyperlink r:id="rId18">
        <w:r w:rsidR="00E70C01" w:rsidRPr="00ED4F57">
          <w:rPr>
            <w:rFonts w:ascii="Arial" w:hAnsi="Arial" w:cs="Arial"/>
            <w:color w:val="0000FF"/>
            <w:u w:val="single" w:color="0000FF"/>
          </w:rPr>
          <w:t>OMB Circular A – 11, Part 4, Instructions on Budget Execution</w:t>
        </w:r>
      </w:hyperlink>
      <w:hyperlink r:id="rId19">
        <w:r w:rsidR="00E70C01" w:rsidRPr="00ED4F57">
          <w:rPr>
            <w:rFonts w:ascii="Arial" w:hAnsi="Arial" w:cs="Arial"/>
          </w:rPr>
          <w:t>;</w:t>
        </w:r>
      </w:hyperlink>
      <w:r w:rsidR="00E70C01" w:rsidRPr="00ED4F57">
        <w:rPr>
          <w:rFonts w:ascii="Arial" w:hAnsi="Arial" w:cs="Arial"/>
        </w:rPr>
        <w:t xml:space="preserve"> </w:t>
      </w:r>
    </w:p>
    <w:p w14:paraId="78D18767" w14:textId="77777777" w:rsidR="005F05EB" w:rsidRPr="00ED4F57" w:rsidRDefault="00E70C01">
      <w:pPr>
        <w:spacing w:line="259" w:lineRule="auto"/>
        <w:ind w:left="0" w:right="0" w:firstLine="0"/>
        <w:rPr>
          <w:rFonts w:ascii="Arial" w:hAnsi="Arial" w:cs="Arial"/>
        </w:rPr>
      </w:pPr>
      <w:r w:rsidRPr="00ED4F57">
        <w:rPr>
          <w:rFonts w:ascii="Arial" w:hAnsi="Arial" w:cs="Arial"/>
        </w:rPr>
        <w:t xml:space="preserve"> </w:t>
      </w:r>
    </w:p>
    <w:p w14:paraId="1944656B" w14:textId="77777777" w:rsidR="005F05EB" w:rsidRPr="00ED4F57" w:rsidRDefault="00D36FAB">
      <w:pPr>
        <w:numPr>
          <w:ilvl w:val="0"/>
          <w:numId w:val="2"/>
        </w:numPr>
        <w:ind w:right="0" w:hanging="360"/>
        <w:rPr>
          <w:rFonts w:ascii="Arial" w:hAnsi="Arial" w:cs="Arial"/>
        </w:rPr>
      </w:pPr>
      <w:hyperlink r:id="rId20">
        <w:r w:rsidR="00E70C01" w:rsidRPr="00ED4F57">
          <w:rPr>
            <w:rFonts w:ascii="Arial" w:hAnsi="Arial" w:cs="Arial"/>
            <w:color w:val="0000FF"/>
            <w:u w:val="single" w:color="0000FF"/>
          </w:rPr>
          <w:t>OMB Circular A – 21, Cost Principles for Educational Institutions</w:t>
        </w:r>
      </w:hyperlink>
      <w:hyperlink r:id="rId21">
        <w:r w:rsidR="00E70C01" w:rsidRPr="00ED4F57">
          <w:rPr>
            <w:rFonts w:ascii="Arial" w:hAnsi="Arial" w:cs="Arial"/>
          </w:rPr>
          <w:t>;</w:t>
        </w:r>
      </w:hyperlink>
      <w:r w:rsidR="00E70C01" w:rsidRPr="00ED4F57">
        <w:rPr>
          <w:rFonts w:ascii="Arial" w:hAnsi="Arial" w:cs="Arial"/>
        </w:rPr>
        <w:t xml:space="preserve"> </w:t>
      </w:r>
    </w:p>
    <w:p w14:paraId="6FF37C08" w14:textId="77777777" w:rsidR="005F05EB" w:rsidRPr="00ED4F57" w:rsidRDefault="00E70C01">
      <w:pPr>
        <w:spacing w:line="259" w:lineRule="auto"/>
        <w:ind w:left="0" w:right="0" w:firstLine="0"/>
        <w:rPr>
          <w:rFonts w:ascii="Arial" w:hAnsi="Arial" w:cs="Arial"/>
        </w:rPr>
      </w:pPr>
      <w:r w:rsidRPr="00ED4F57">
        <w:rPr>
          <w:rFonts w:ascii="Arial" w:hAnsi="Arial" w:cs="Arial"/>
        </w:rPr>
        <w:t xml:space="preserve"> </w:t>
      </w:r>
    </w:p>
    <w:p w14:paraId="6AEA27A7" w14:textId="77777777" w:rsidR="005F05EB" w:rsidRPr="00ED4F57" w:rsidRDefault="00D36FAB">
      <w:pPr>
        <w:numPr>
          <w:ilvl w:val="0"/>
          <w:numId w:val="2"/>
        </w:numPr>
        <w:ind w:right="0" w:hanging="360"/>
        <w:rPr>
          <w:rFonts w:ascii="Arial" w:hAnsi="Arial" w:cs="Arial"/>
        </w:rPr>
      </w:pPr>
      <w:hyperlink r:id="rId22">
        <w:r w:rsidR="00E70C01" w:rsidRPr="00ED4F57">
          <w:rPr>
            <w:rFonts w:ascii="Arial" w:hAnsi="Arial" w:cs="Arial"/>
            <w:color w:val="0000FF"/>
            <w:u w:val="single" w:color="0000FF"/>
          </w:rPr>
          <w:t>OMB Circular A – 87, Cost Principles for State, Local, and Indian Tribal</w:t>
        </w:r>
      </w:hyperlink>
      <w:hyperlink r:id="rId23">
        <w:r w:rsidR="00E70C01" w:rsidRPr="00ED4F57">
          <w:rPr>
            <w:rFonts w:ascii="Arial" w:hAnsi="Arial" w:cs="Arial"/>
            <w:color w:val="0000FF"/>
          </w:rPr>
          <w:t xml:space="preserve"> </w:t>
        </w:r>
      </w:hyperlink>
      <w:hyperlink r:id="rId24">
        <w:r w:rsidR="00E70C01" w:rsidRPr="00ED4F57">
          <w:rPr>
            <w:rFonts w:ascii="Arial" w:hAnsi="Arial" w:cs="Arial"/>
            <w:color w:val="0000FF"/>
            <w:u w:val="single" w:color="0000FF"/>
          </w:rPr>
          <w:t>Governments</w:t>
        </w:r>
      </w:hyperlink>
      <w:hyperlink r:id="rId25">
        <w:r w:rsidR="00E70C01" w:rsidRPr="00ED4F57">
          <w:rPr>
            <w:rFonts w:ascii="Arial" w:hAnsi="Arial" w:cs="Arial"/>
          </w:rPr>
          <w:t>;</w:t>
        </w:r>
      </w:hyperlink>
      <w:r w:rsidR="00E70C01" w:rsidRPr="00ED4F57">
        <w:rPr>
          <w:rFonts w:ascii="Arial" w:hAnsi="Arial" w:cs="Arial"/>
        </w:rPr>
        <w:t xml:space="preserve"> </w:t>
      </w:r>
    </w:p>
    <w:p w14:paraId="34002F79" w14:textId="77777777" w:rsidR="005F05EB" w:rsidRPr="00ED4F57" w:rsidRDefault="00E70C01">
      <w:pPr>
        <w:spacing w:line="259" w:lineRule="auto"/>
        <w:ind w:left="0" w:right="0" w:firstLine="0"/>
        <w:rPr>
          <w:rFonts w:ascii="Arial" w:hAnsi="Arial" w:cs="Arial"/>
        </w:rPr>
      </w:pPr>
      <w:r w:rsidRPr="00ED4F57">
        <w:rPr>
          <w:rFonts w:ascii="Arial" w:hAnsi="Arial" w:cs="Arial"/>
        </w:rPr>
        <w:t xml:space="preserve"> </w:t>
      </w:r>
    </w:p>
    <w:p w14:paraId="062A0DE7" w14:textId="77777777" w:rsidR="005F05EB" w:rsidRPr="00ED4F57" w:rsidRDefault="00D36FAB">
      <w:pPr>
        <w:numPr>
          <w:ilvl w:val="0"/>
          <w:numId w:val="2"/>
        </w:numPr>
        <w:ind w:right="0" w:hanging="360"/>
        <w:rPr>
          <w:rFonts w:ascii="Arial" w:hAnsi="Arial" w:cs="Arial"/>
        </w:rPr>
      </w:pPr>
      <w:hyperlink r:id="rId26">
        <w:r w:rsidR="00E70C01" w:rsidRPr="00ED4F57">
          <w:rPr>
            <w:rFonts w:ascii="Arial" w:hAnsi="Arial" w:cs="Arial"/>
            <w:color w:val="0000FF"/>
            <w:u w:val="single" w:color="0000FF"/>
          </w:rPr>
          <w:t>OMB Circular A – 102, Grants and Cooperative Agreements with State and</w:t>
        </w:r>
      </w:hyperlink>
      <w:hyperlink r:id="rId27">
        <w:r w:rsidR="00E70C01" w:rsidRPr="00ED4F57">
          <w:rPr>
            <w:rFonts w:ascii="Arial" w:hAnsi="Arial" w:cs="Arial"/>
            <w:color w:val="0000FF"/>
          </w:rPr>
          <w:t xml:space="preserve"> </w:t>
        </w:r>
      </w:hyperlink>
      <w:hyperlink r:id="rId28">
        <w:r w:rsidR="00E70C01" w:rsidRPr="00ED4F57">
          <w:rPr>
            <w:rFonts w:ascii="Arial" w:hAnsi="Arial" w:cs="Arial"/>
            <w:color w:val="0000FF"/>
            <w:u w:val="single" w:color="0000FF"/>
          </w:rPr>
          <w:t>Local Governments</w:t>
        </w:r>
      </w:hyperlink>
      <w:hyperlink r:id="rId29">
        <w:r w:rsidR="00E70C01" w:rsidRPr="00ED4F57">
          <w:rPr>
            <w:rFonts w:ascii="Arial" w:hAnsi="Arial" w:cs="Arial"/>
          </w:rPr>
          <w:t>;</w:t>
        </w:r>
      </w:hyperlink>
      <w:r w:rsidR="00E70C01" w:rsidRPr="00ED4F57">
        <w:rPr>
          <w:rFonts w:ascii="Arial" w:hAnsi="Arial" w:cs="Arial"/>
        </w:rPr>
        <w:t xml:space="preserve"> </w:t>
      </w:r>
    </w:p>
    <w:p w14:paraId="1663FB56" w14:textId="77777777" w:rsidR="005F05EB" w:rsidRPr="00ED4F57" w:rsidRDefault="00E70C01">
      <w:pPr>
        <w:spacing w:line="259" w:lineRule="auto"/>
        <w:ind w:left="0" w:right="0" w:firstLine="0"/>
        <w:rPr>
          <w:rFonts w:ascii="Arial" w:hAnsi="Arial" w:cs="Arial"/>
        </w:rPr>
      </w:pPr>
      <w:r w:rsidRPr="00ED4F57">
        <w:rPr>
          <w:rFonts w:ascii="Arial" w:hAnsi="Arial" w:cs="Arial"/>
        </w:rPr>
        <w:t xml:space="preserve"> </w:t>
      </w:r>
    </w:p>
    <w:p w14:paraId="14ADD05C" w14:textId="77777777" w:rsidR="005F05EB" w:rsidRPr="00ED4F57" w:rsidRDefault="00D36FAB">
      <w:pPr>
        <w:numPr>
          <w:ilvl w:val="0"/>
          <w:numId w:val="2"/>
        </w:numPr>
        <w:ind w:right="0" w:hanging="360"/>
        <w:rPr>
          <w:rFonts w:ascii="Arial" w:hAnsi="Arial" w:cs="Arial"/>
        </w:rPr>
      </w:pPr>
      <w:hyperlink r:id="rId30">
        <w:r w:rsidR="00E70C01" w:rsidRPr="00ED4F57">
          <w:rPr>
            <w:rFonts w:ascii="Arial" w:hAnsi="Arial" w:cs="Arial"/>
            <w:color w:val="0000FF"/>
            <w:u w:val="single" w:color="0000FF"/>
          </w:rPr>
          <w:t>OMB Circular A – 110, Uniform Administrative Requirements for Grants and</w:t>
        </w:r>
      </w:hyperlink>
      <w:hyperlink r:id="rId31">
        <w:r w:rsidR="00E70C01" w:rsidRPr="00ED4F57">
          <w:rPr>
            <w:rFonts w:ascii="Arial" w:hAnsi="Arial" w:cs="Arial"/>
            <w:color w:val="0000FF"/>
          </w:rPr>
          <w:t xml:space="preserve"> </w:t>
        </w:r>
      </w:hyperlink>
    </w:p>
    <w:p w14:paraId="6B1F2326" w14:textId="77777777" w:rsidR="005F05EB" w:rsidRPr="00ED4F57" w:rsidRDefault="00D36FAB">
      <w:pPr>
        <w:ind w:left="1090" w:right="0" w:hanging="10"/>
        <w:rPr>
          <w:rFonts w:ascii="Arial" w:hAnsi="Arial" w:cs="Arial"/>
        </w:rPr>
      </w:pPr>
      <w:hyperlink r:id="rId32">
        <w:r w:rsidR="00E70C01" w:rsidRPr="00ED4F57">
          <w:rPr>
            <w:rFonts w:ascii="Arial" w:hAnsi="Arial" w:cs="Arial"/>
            <w:color w:val="0000FF"/>
            <w:u w:val="single" w:color="0000FF"/>
          </w:rPr>
          <w:t>Other Agreements With Institutions of Higher Education, Hospitals, and</w:t>
        </w:r>
      </w:hyperlink>
      <w:hyperlink r:id="rId33">
        <w:r w:rsidR="00E70C01" w:rsidRPr="00ED4F57">
          <w:rPr>
            <w:rFonts w:ascii="Arial" w:hAnsi="Arial" w:cs="Arial"/>
            <w:color w:val="0000FF"/>
          </w:rPr>
          <w:t xml:space="preserve"> </w:t>
        </w:r>
      </w:hyperlink>
      <w:hyperlink r:id="rId34">
        <w:r w:rsidR="00E70C01" w:rsidRPr="00ED4F57">
          <w:rPr>
            <w:rFonts w:ascii="Arial" w:hAnsi="Arial" w:cs="Arial"/>
            <w:color w:val="0000FF"/>
            <w:u w:val="single" w:color="0000FF"/>
          </w:rPr>
          <w:t>Other Non-Profit Organizations</w:t>
        </w:r>
      </w:hyperlink>
      <w:hyperlink r:id="rId35">
        <w:r w:rsidR="00E70C01" w:rsidRPr="00ED4F57">
          <w:rPr>
            <w:rFonts w:ascii="Arial" w:hAnsi="Arial" w:cs="Arial"/>
          </w:rPr>
          <w:t>;</w:t>
        </w:r>
      </w:hyperlink>
      <w:r w:rsidR="00E70C01" w:rsidRPr="00ED4F57">
        <w:rPr>
          <w:rFonts w:ascii="Arial" w:hAnsi="Arial" w:cs="Arial"/>
        </w:rPr>
        <w:t xml:space="preserve"> </w:t>
      </w:r>
    </w:p>
    <w:p w14:paraId="24945ED2" w14:textId="77777777" w:rsidR="005F05EB" w:rsidRPr="00ED4F57" w:rsidRDefault="00E70C01">
      <w:pPr>
        <w:spacing w:line="259" w:lineRule="auto"/>
        <w:ind w:left="0" w:right="0" w:firstLine="0"/>
        <w:rPr>
          <w:rFonts w:ascii="Arial" w:hAnsi="Arial" w:cs="Arial"/>
        </w:rPr>
      </w:pPr>
      <w:r w:rsidRPr="00ED4F57">
        <w:rPr>
          <w:rFonts w:ascii="Arial" w:hAnsi="Arial" w:cs="Arial"/>
        </w:rPr>
        <w:t xml:space="preserve"> </w:t>
      </w:r>
    </w:p>
    <w:p w14:paraId="6B06550F" w14:textId="77777777" w:rsidR="005F05EB" w:rsidRPr="00ED4F57" w:rsidRDefault="00D36FAB">
      <w:pPr>
        <w:numPr>
          <w:ilvl w:val="0"/>
          <w:numId w:val="2"/>
        </w:numPr>
        <w:ind w:right="0" w:hanging="360"/>
        <w:rPr>
          <w:rFonts w:ascii="Arial" w:hAnsi="Arial" w:cs="Arial"/>
        </w:rPr>
      </w:pPr>
      <w:hyperlink r:id="rId36">
        <w:r w:rsidR="00E70C01" w:rsidRPr="00ED4F57">
          <w:rPr>
            <w:rFonts w:ascii="Arial" w:hAnsi="Arial" w:cs="Arial"/>
            <w:color w:val="0000FF"/>
            <w:u w:val="single" w:color="0000FF"/>
          </w:rPr>
          <w:t>OMB Circular A –122, Cost Principles for Non-profit Organizations</w:t>
        </w:r>
      </w:hyperlink>
      <w:hyperlink r:id="rId37">
        <w:r w:rsidR="00E70C01" w:rsidRPr="00ED4F57">
          <w:rPr>
            <w:rFonts w:ascii="Arial" w:hAnsi="Arial" w:cs="Arial"/>
          </w:rPr>
          <w:t>;</w:t>
        </w:r>
      </w:hyperlink>
      <w:r w:rsidR="00E70C01" w:rsidRPr="00ED4F57">
        <w:rPr>
          <w:rFonts w:ascii="Arial" w:hAnsi="Arial" w:cs="Arial"/>
        </w:rPr>
        <w:t xml:space="preserve"> and </w:t>
      </w:r>
    </w:p>
    <w:p w14:paraId="6CFA182F" w14:textId="77777777" w:rsidR="005F05EB" w:rsidRPr="00ED4F57" w:rsidRDefault="00E70C01">
      <w:pPr>
        <w:spacing w:line="259" w:lineRule="auto"/>
        <w:ind w:left="0" w:right="0" w:firstLine="0"/>
        <w:rPr>
          <w:rFonts w:ascii="Arial" w:hAnsi="Arial" w:cs="Arial"/>
        </w:rPr>
      </w:pPr>
      <w:r w:rsidRPr="00ED4F57">
        <w:rPr>
          <w:rFonts w:ascii="Arial" w:hAnsi="Arial" w:cs="Arial"/>
        </w:rPr>
        <w:t xml:space="preserve"> </w:t>
      </w:r>
    </w:p>
    <w:p w14:paraId="517EA71A" w14:textId="77777777" w:rsidR="005F05EB" w:rsidRPr="00ED4F57" w:rsidRDefault="00D36FAB">
      <w:pPr>
        <w:numPr>
          <w:ilvl w:val="0"/>
          <w:numId w:val="2"/>
        </w:numPr>
        <w:ind w:right="0" w:hanging="360"/>
        <w:rPr>
          <w:rFonts w:ascii="Arial" w:hAnsi="Arial" w:cs="Arial"/>
        </w:rPr>
      </w:pPr>
      <w:hyperlink r:id="rId38">
        <w:r w:rsidR="00E70C01" w:rsidRPr="00ED4F57">
          <w:rPr>
            <w:rFonts w:ascii="Arial" w:hAnsi="Arial" w:cs="Arial"/>
            <w:color w:val="0000FF"/>
            <w:u w:val="single" w:color="0000FF"/>
          </w:rPr>
          <w:t>OMB Circular A – 133, Audits of States, Local Governments, and Non-profit</w:t>
        </w:r>
      </w:hyperlink>
      <w:hyperlink r:id="rId39">
        <w:r w:rsidR="00E70C01" w:rsidRPr="00ED4F57">
          <w:rPr>
            <w:rFonts w:ascii="Arial" w:hAnsi="Arial" w:cs="Arial"/>
            <w:color w:val="0000FF"/>
          </w:rPr>
          <w:t xml:space="preserve"> </w:t>
        </w:r>
      </w:hyperlink>
      <w:hyperlink r:id="rId40">
        <w:r w:rsidR="00E70C01" w:rsidRPr="00ED4F57">
          <w:rPr>
            <w:rFonts w:ascii="Arial" w:hAnsi="Arial" w:cs="Arial"/>
            <w:color w:val="0000FF"/>
            <w:u w:val="single" w:color="0000FF"/>
          </w:rPr>
          <w:t>Organizations</w:t>
        </w:r>
      </w:hyperlink>
      <w:hyperlink r:id="rId41">
        <w:r w:rsidR="00E70C01" w:rsidRPr="00ED4F57">
          <w:rPr>
            <w:rFonts w:ascii="Arial" w:hAnsi="Arial" w:cs="Arial"/>
          </w:rPr>
          <w:t>.</w:t>
        </w:r>
      </w:hyperlink>
      <w:r w:rsidR="00E70C01" w:rsidRPr="00ED4F57">
        <w:rPr>
          <w:rFonts w:ascii="Arial" w:hAnsi="Arial" w:cs="Arial"/>
        </w:rPr>
        <w:t xml:space="preserve"> </w:t>
      </w:r>
    </w:p>
    <w:p w14:paraId="02DD7D2C" w14:textId="77777777" w:rsidR="005F05EB" w:rsidRPr="00ED4F57" w:rsidRDefault="00E70C01">
      <w:pPr>
        <w:spacing w:line="259" w:lineRule="auto"/>
        <w:ind w:left="0" w:right="0" w:firstLine="0"/>
        <w:rPr>
          <w:rFonts w:ascii="Arial" w:hAnsi="Arial" w:cs="Arial"/>
        </w:rPr>
      </w:pPr>
      <w:r w:rsidRPr="00ED4F57">
        <w:rPr>
          <w:rFonts w:ascii="Arial" w:hAnsi="Arial" w:cs="Arial"/>
        </w:rPr>
        <w:t xml:space="preserve"> </w:t>
      </w:r>
    </w:p>
    <w:p w14:paraId="0617A39B" w14:textId="001389B8" w:rsidR="005F05EB" w:rsidRDefault="00E70C01" w:rsidP="00ED4F57">
      <w:pPr>
        <w:pStyle w:val="Heading3"/>
        <w:tabs>
          <w:tab w:val="left" w:pos="924"/>
          <w:tab w:val="left" w:pos="927"/>
        </w:tabs>
        <w:spacing w:before="1"/>
        <w:ind w:left="0" w:right="769" w:firstLine="0"/>
      </w:pPr>
      <w:r w:rsidRPr="00ED4F57">
        <w:t xml:space="preserve">Section 3.0 </w:t>
      </w:r>
      <w:r w:rsidR="00ED4F57">
        <w:t xml:space="preserve">- </w:t>
      </w:r>
      <w:r w:rsidRPr="00ED4F57">
        <w:t>Definitions</w:t>
      </w:r>
      <w:r>
        <w:t xml:space="preserve"> </w:t>
      </w:r>
    </w:p>
    <w:p w14:paraId="53EC21A4" w14:textId="77777777" w:rsidR="005F05EB" w:rsidRDefault="00E70C01">
      <w:pPr>
        <w:spacing w:line="259" w:lineRule="auto"/>
        <w:ind w:left="0" w:right="0" w:firstLine="0"/>
      </w:pPr>
      <w:r>
        <w:t xml:space="preserve"> </w:t>
      </w:r>
    </w:p>
    <w:p w14:paraId="24D3611E" w14:textId="77777777" w:rsidR="005F05EB" w:rsidRPr="00ED4F57" w:rsidRDefault="00E70C01">
      <w:pPr>
        <w:numPr>
          <w:ilvl w:val="0"/>
          <w:numId w:val="3"/>
        </w:numPr>
        <w:ind w:right="0" w:hanging="360"/>
        <w:rPr>
          <w:rFonts w:ascii="Arial" w:hAnsi="Arial" w:cs="Arial"/>
        </w:rPr>
      </w:pPr>
      <w:r w:rsidRPr="00ED4F57">
        <w:rPr>
          <w:rFonts w:ascii="Arial" w:hAnsi="Arial" w:cs="Arial"/>
        </w:rPr>
        <w:t xml:space="preserve">A grant is an award of financial assistance, including cooperative agreements, in the form of money, or property in lieu of money, by the Federal Government to an eligible grantee.  Grants exclude technical assistance or other assistance in the form of revenue sharing, loans, loan guarantees, interest subsidies, insurance, or direct appropriations.  Also, grants do not include financial assistance such as a fellowship or other lump sum award, for which the recipient is not required to account. </w:t>
      </w:r>
    </w:p>
    <w:p w14:paraId="5C419091" w14:textId="77777777" w:rsidR="005F05EB" w:rsidRPr="00ED4F57" w:rsidRDefault="00E70C01">
      <w:pPr>
        <w:spacing w:line="259" w:lineRule="auto"/>
        <w:ind w:left="0" w:right="0" w:firstLine="0"/>
        <w:rPr>
          <w:rFonts w:ascii="Arial" w:hAnsi="Arial" w:cs="Arial"/>
        </w:rPr>
      </w:pPr>
      <w:r w:rsidRPr="00ED4F57">
        <w:rPr>
          <w:rFonts w:ascii="Arial" w:hAnsi="Arial" w:cs="Arial"/>
        </w:rPr>
        <w:lastRenderedPageBreak/>
        <w:t xml:space="preserve"> </w:t>
      </w:r>
    </w:p>
    <w:p w14:paraId="5A53EE41" w14:textId="77777777" w:rsidR="005F05EB" w:rsidRPr="00ED4F57" w:rsidRDefault="00E70C01">
      <w:pPr>
        <w:numPr>
          <w:ilvl w:val="0"/>
          <w:numId w:val="3"/>
        </w:numPr>
        <w:ind w:right="0" w:hanging="360"/>
        <w:rPr>
          <w:rFonts w:ascii="Arial" w:hAnsi="Arial" w:cs="Arial"/>
        </w:rPr>
      </w:pPr>
      <w:r w:rsidRPr="00ED4F57">
        <w:rPr>
          <w:rFonts w:ascii="Arial" w:hAnsi="Arial" w:cs="Arial"/>
        </w:rPr>
        <w:t xml:space="preserve">Grants-in-aid: </w:t>
      </w:r>
      <w:proofErr w:type="gramStart"/>
      <w:r w:rsidRPr="00ED4F57">
        <w:rPr>
          <w:rFonts w:ascii="Arial" w:hAnsi="Arial" w:cs="Arial"/>
        </w:rPr>
        <w:t xml:space="preserve"> For</w:t>
      </w:r>
      <w:proofErr w:type="gramEnd"/>
      <w:r w:rsidRPr="00ED4F57">
        <w:rPr>
          <w:rFonts w:ascii="Arial" w:hAnsi="Arial" w:cs="Arial"/>
        </w:rPr>
        <w:t xml:space="preserve"> purpose of budget, grants-in-aid consist of budget outlays (expenditures) by the Federal Government to support State or Local programs of governmental service to the public.  These grants do not include purchases from State or local government, e.g., payments for research or support of </w:t>
      </w:r>
    </w:p>
    <w:p w14:paraId="60E81CD0" w14:textId="77777777" w:rsidR="005F05EB" w:rsidRPr="00ED4F57" w:rsidRDefault="00E70C01">
      <w:pPr>
        <w:ind w:left="1080" w:right="0" w:firstLine="0"/>
        <w:rPr>
          <w:rFonts w:ascii="Arial" w:hAnsi="Arial" w:cs="Arial"/>
        </w:rPr>
      </w:pPr>
      <w:r w:rsidRPr="00ED4F57">
        <w:rPr>
          <w:rFonts w:ascii="Arial" w:hAnsi="Arial" w:cs="Arial"/>
        </w:rPr>
        <w:t xml:space="preserve">Federal prisoners.  Although Commerce does not deal with grants-in-aid, the definition of grants-in-aid is included in this chapter to help in making a distinction between different types of grants. </w:t>
      </w:r>
    </w:p>
    <w:p w14:paraId="43A6324D" w14:textId="77777777" w:rsidR="005F05EB" w:rsidRPr="00ED4F57" w:rsidRDefault="00E70C01">
      <w:pPr>
        <w:spacing w:line="259" w:lineRule="auto"/>
        <w:ind w:left="0" w:right="0" w:firstLine="0"/>
        <w:rPr>
          <w:rFonts w:ascii="Arial" w:hAnsi="Arial" w:cs="Arial"/>
        </w:rPr>
      </w:pPr>
      <w:r w:rsidRPr="00ED4F57">
        <w:rPr>
          <w:rFonts w:ascii="Arial" w:hAnsi="Arial" w:cs="Arial"/>
          <w:b/>
        </w:rPr>
        <w:t xml:space="preserve"> </w:t>
      </w:r>
    </w:p>
    <w:p w14:paraId="59E48C89" w14:textId="77777777" w:rsidR="005F05EB" w:rsidRPr="00ED4F57" w:rsidRDefault="00E70C01">
      <w:pPr>
        <w:numPr>
          <w:ilvl w:val="0"/>
          <w:numId w:val="3"/>
        </w:numPr>
        <w:ind w:right="0" w:hanging="360"/>
        <w:rPr>
          <w:rFonts w:ascii="Arial" w:hAnsi="Arial" w:cs="Arial"/>
        </w:rPr>
      </w:pPr>
      <w:r w:rsidRPr="00ED4F57">
        <w:rPr>
          <w:rFonts w:ascii="Arial" w:hAnsi="Arial" w:cs="Arial"/>
        </w:rPr>
        <w:t>Grantee:</w:t>
      </w:r>
      <w:r w:rsidRPr="00ED4F57">
        <w:rPr>
          <w:rFonts w:ascii="Arial" w:hAnsi="Arial" w:cs="Arial"/>
          <w:b/>
        </w:rPr>
        <w:t xml:space="preserve">  </w:t>
      </w:r>
      <w:r w:rsidRPr="00ED4F57">
        <w:rPr>
          <w:rFonts w:ascii="Arial" w:hAnsi="Arial" w:cs="Arial"/>
        </w:rPr>
        <w:t>Grantee</w:t>
      </w:r>
      <w:r w:rsidRPr="00ED4F57">
        <w:rPr>
          <w:rFonts w:ascii="Arial" w:hAnsi="Arial" w:cs="Arial"/>
          <w:b/>
        </w:rPr>
        <w:t xml:space="preserve"> </w:t>
      </w:r>
      <w:r w:rsidRPr="00ED4F57">
        <w:rPr>
          <w:rFonts w:ascii="Arial" w:hAnsi="Arial" w:cs="Arial"/>
        </w:rPr>
        <w:t xml:space="preserve">means the recipient to which a grant is awarded and who is accountable for the use of funds provided.  The grantee can also be an institution of higher education, a hospital or other non-profit organization, or, in some </w:t>
      </w:r>
      <w:proofErr w:type="gramStart"/>
      <w:r w:rsidRPr="00ED4F57">
        <w:rPr>
          <w:rFonts w:ascii="Arial" w:hAnsi="Arial" w:cs="Arial"/>
        </w:rPr>
        <w:t>cases</w:t>
      </w:r>
      <w:proofErr w:type="gramEnd"/>
      <w:r w:rsidRPr="00ED4F57">
        <w:rPr>
          <w:rFonts w:ascii="Arial" w:hAnsi="Arial" w:cs="Arial"/>
        </w:rPr>
        <w:t xml:space="preserve"> a for-profit entity. </w:t>
      </w:r>
    </w:p>
    <w:p w14:paraId="2FF0586F" w14:textId="77777777" w:rsidR="005F05EB" w:rsidRPr="00ED4F57" w:rsidRDefault="00E70C01">
      <w:pPr>
        <w:spacing w:line="259" w:lineRule="auto"/>
        <w:ind w:left="720" w:right="0" w:firstLine="0"/>
        <w:rPr>
          <w:rFonts w:ascii="Arial" w:hAnsi="Arial" w:cs="Arial"/>
        </w:rPr>
      </w:pPr>
      <w:r w:rsidRPr="00ED4F57">
        <w:rPr>
          <w:rFonts w:ascii="Arial" w:hAnsi="Arial" w:cs="Arial"/>
          <w:b/>
        </w:rPr>
        <w:t xml:space="preserve"> </w:t>
      </w:r>
    </w:p>
    <w:p w14:paraId="327D6D0C" w14:textId="77777777" w:rsidR="005F05EB" w:rsidRPr="00ED4F57" w:rsidRDefault="00E70C01">
      <w:pPr>
        <w:numPr>
          <w:ilvl w:val="0"/>
          <w:numId w:val="3"/>
        </w:numPr>
        <w:ind w:right="0" w:hanging="360"/>
        <w:rPr>
          <w:rFonts w:ascii="Arial" w:hAnsi="Arial" w:cs="Arial"/>
        </w:rPr>
      </w:pPr>
      <w:r w:rsidRPr="00ED4F57">
        <w:rPr>
          <w:rFonts w:ascii="Arial" w:hAnsi="Arial" w:cs="Arial"/>
        </w:rPr>
        <w:t xml:space="preserve">Subsidy:  A subsidy is generally a payment by the Government or another benefit for which no current service is </w:t>
      </w:r>
      <w:proofErr w:type="gramStart"/>
      <w:r w:rsidRPr="00ED4F57">
        <w:rPr>
          <w:rFonts w:ascii="Arial" w:hAnsi="Arial" w:cs="Arial"/>
        </w:rPr>
        <w:t>rendered</w:t>
      </w:r>
      <w:proofErr w:type="gramEnd"/>
      <w:r w:rsidRPr="00ED4F57">
        <w:rPr>
          <w:rFonts w:ascii="Arial" w:hAnsi="Arial" w:cs="Arial"/>
        </w:rPr>
        <w:t xml:space="preserve"> and which is designed to support the conduct of an economic enterprise or activity.  It may also refer to provisions of the tax system that provide certain tax benefits and to the public provisions of loans, goods, services, etc., at a lower price than the recipients would have to pay in the market, such as interest </w:t>
      </w:r>
      <w:proofErr w:type="gramStart"/>
      <w:r w:rsidRPr="00ED4F57">
        <w:rPr>
          <w:rFonts w:ascii="Arial" w:hAnsi="Arial" w:cs="Arial"/>
        </w:rPr>
        <w:t>subsidy</w:t>
      </w:r>
      <w:proofErr w:type="gramEnd"/>
      <w:r w:rsidRPr="00ED4F57">
        <w:rPr>
          <w:rFonts w:ascii="Arial" w:hAnsi="Arial" w:cs="Arial"/>
        </w:rPr>
        <w:t xml:space="preserve">. </w:t>
      </w:r>
    </w:p>
    <w:p w14:paraId="10CD2D38" w14:textId="77777777" w:rsidR="005F05EB" w:rsidRPr="00ED4F57" w:rsidRDefault="00E70C01">
      <w:pPr>
        <w:spacing w:line="259" w:lineRule="auto"/>
        <w:ind w:left="720" w:right="0" w:firstLine="0"/>
        <w:rPr>
          <w:rFonts w:ascii="Arial" w:hAnsi="Arial" w:cs="Arial"/>
        </w:rPr>
      </w:pPr>
      <w:r w:rsidRPr="00ED4F57">
        <w:rPr>
          <w:rFonts w:ascii="Arial" w:hAnsi="Arial" w:cs="Arial"/>
        </w:rPr>
        <w:t xml:space="preserve"> </w:t>
      </w:r>
    </w:p>
    <w:p w14:paraId="2A4C783D" w14:textId="77777777" w:rsidR="005F05EB" w:rsidRPr="00ED4F57" w:rsidRDefault="00E70C01">
      <w:pPr>
        <w:numPr>
          <w:ilvl w:val="0"/>
          <w:numId w:val="3"/>
        </w:numPr>
        <w:ind w:right="0" w:hanging="360"/>
        <w:rPr>
          <w:rFonts w:ascii="Arial" w:hAnsi="Arial" w:cs="Arial"/>
        </w:rPr>
      </w:pPr>
      <w:r w:rsidRPr="00ED4F57">
        <w:rPr>
          <w:rFonts w:ascii="Arial" w:hAnsi="Arial" w:cs="Arial"/>
        </w:rPr>
        <w:t xml:space="preserve">Cash Contributions:  Cash contributions refer to money contributed to the award by the recipient.  It may come from the recipient itself or other public or private sources.  When authorized by Federal legislation, Federal funds received under other assistance agreements may be considered as grantee or sub-grantee cash contributions. </w:t>
      </w:r>
    </w:p>
    <w:p w14:paraId="5C38BCE3" w14:textId="46363E01" w:rsidR="005F05EB" w:rsidRPr="00ED4F57" w:rsidRDefault="00E70C01" w:rsidP="00ED4F57">
      <w:pPr>
        <w:spacing w:line="259" w:lineRule="auto"/>
        <w:ind w:left="720" w:right="0" w:firstLine="0"/>
        <w:rPr>
          <w:rFonts w:ascii="Arial" w:hAnsi="Arial" w:cs="Arial"/>
        </w:rPr>
      </w:pPr>
      <w:r w:rsidRPr="00ED4F57">
        <w:rPr>
          <w:rFonts w:ascii="Arial" w:hAnsi="Arial" w:cs="Arial"/>
        </w:rPr>
        <w:t xml:space="preserve"> </w:t>
      </w:r>
    </w:p>
    <w:p w14:paraId="07B34249" w14:textId="266474BD" w:rsidR="005F05EB" w:rsidRDefault="00E70C01" w:rsidP="00ED4F57">
      <w:pPr>
        <w:pStyle w:val="Heading3"/>
        <w:tabs>
          <w:tab w:val="left" w:pos="924"/>
          <w:tab w:val="left" w:pos="927"/>
        </w:tabs>
        <w:spacing w:before="1"/>
        <w:ind w:left="0" w:right="769" w:firstLine="0"/>
      </w:pPr>
      <w:r w:rsidRPr="00ED4F57">
        <w:t xml:space="preserve">Section 4.0 </w:t>
      </w:r>
      <w:r w:rsidR="00ED4F57">
        <w:t xml:space="preserve">- </w:t>
      </w:r>
      <w:r w:rsidRPr="00ED4F57">
        <w:t>Accounting for Grants and Subsidies</w:t>
      </w:r>
      <w:r>
        <w:t xml:space="preserve">  </w:t>
      </w:r>
    </w:p>
    <w:p w14:paraId="03029AA1" w14:textId="77777777" w:rsidR="005F05EB" w:rsidRDefault="00E70C01">
      <w:pPr>
        <w:spacing w:line="259" w:lineRule="auto"/>
        <w:ind w:left="0" w:right="0" w:firstLine="0"/>
      </w:pPr>
      <w:r>
        <w:t xml:space="preserve"> </w:t>
      </w:r>
    </w:p>
    <w:p w14:paraId="1B684004" w14:textId="0F52C2E7" w:rsidR="005F05EB" w:rsidRPr="00ED4F57" w:rsidRDefault="00ED4F57" w:rsidP="00ED4F57">
      <w:pPr>
        <w:tabs>
          <w:tab w:val="left" w:pos="720"/>
        </w:tabs>
        <w:spacing w:after="160" w:line="240" w:lineRule="auto"/>
        <w:ind w:left="0" w:right="0" w:firstLine="0"/>
        <w:rPr>
          <w:rFonts w:ascii="Arial" w:hAnsi="Arial" w:cs="Arial"/>
          <w:b/>
          <w:bCs/>
        </w:rPr>
      </w:pPr>
      <w:r w:rsidRPr="00ED4F57">
        <w:rPr>
          <w:rFonts w:ascii="Arial" w:hAnsi="Arial" w:cs="Arial"/>
          <w:b/>
          <w:bCs/>
        </w:rPr>
        <w:t>4-1</w:t>
      </w:r>
      <w:r w:rsidR="00E70C01" w:rsidRPr="00ED4F57">
        <w:rPr>
          <w:rFonts w:ascii="Arial" w:hAnsi="Arial" w:cs="Arial"/>
          <w:b/>
          <w:bCs/>
        </w:rPr>
        <w:t xml:space="preserve"> </w:t>
      </w:r>
      <w:r w:rsidR="00E70C01" w:rsidRPr="00ED4F57">
        <w:rPr>
          <w:rFonts w:ascii="Arial" w:hAnsi="Arial" w:cs="Arial"/>
          <w:b/>
          <w:bCs/>
        </w:rPr>
        <w:tab/>
        <w:t xml:space="preserve">Obligations </w:t>
      </w:r>
    </w:p>
    <w:p w14:paraId="096C8776" w14:textId="77777777" w:rsidR="005F05EB" w:rsidRPr="00ED4F57" w:rsidRDefault="00E70C01">
      <w:pPr>
        <w:ind w:left="1440" w:right="0" w:firstLine="0"/>
        <w:rPr>
          <w:rFonts w:ascii="Arial" w:hAnsi="Arial" w:cs="Arial"/>
        </w:rPr>
      </w:pPr>
      <w:r w:rsidRPr="00ED4F57">
        <w:rPr>
          <w:rFonts w:ascii="Arial" w:hAnsi="Arial" w:cs="Arial"/>
        </w:rPr>
        <w:t xml:space="preserve">Grants will be recorded as obligations </w:t>
      </w:r>
      <w:proofErr w:type="gramStart"/>
      <w:r w:rsidRPr="00ED4F57">
        <w:rPr>
          <w:rFonts w:ascii="Arial" w:hAnsi="Arial" w:cs="Arial"/>
        </w:rPr>
        <w:t>on the basis of</w:t>
      </w:r>
      <w:proofErr w:type="gramEnd"/>
      <w:r w:rsidRPr="00ED4F57">
        <w:rPr>
          <w:rFonts w:ascii="Arial" w:hAnsi="Arial" w:cs="Arial"/>
        </w:rPr>
        <w:t xml:space="preserve"> an approved, signed, and accepted application.  Under </w:t>
      </w:r>
      <w:hyperlink r:id="rId42">
        <w:r w:rsidRPr="00ED4F57">
          <w:rPr>
            <w:rFonts w:ascii="Arial" w:hAnsi="Arial" w:cs="Arial"/>
            <w:color w:val="0000FF"/>
            <w:u w:val="single" w:color="0000FF"/>
          </w:rPr>
          <w:t>31 U.S.C. Sec. 1501</w:t>
        </w:r>
      </w:hyperlink>
      <w:hyperlink r:id="rId43">
        <w:r w:rsidRPr="00ED4F57">
          <w:rPr>
            <w:rFonts w:ascii="Arial" w:hAnsi="Arial" w:cs="Arial"/>
          </w:rPr>
          <w:t>,</w:t>
        </w:r>
      </w:hyperlink>
      <w:r w:rsidRPr="00ED4F57">
        <w:rPr>
          <w:rFonts w:ascii="Arial" w:hAnsi="Arial" w:cs="Arial"/>
        </w:rPr>
        <w:t xml:space="preserve"> “Documentary Evidence Requirement for Government Obligations,” an amount shall be recorded as an obligation of the U.S. Government only when supported by documentary evidence of a grant or subsidy payable: </w:t>
      </w:r>
    </w:p>
    <w:p w14:paraId="23958193" w14:textId="77777777" w:rsidR="005F05EB" w:rsidRPr="00ED4F57" w:rsidRDefault="00E70C01">
      <w:pPr>
        <w:spacing w:line="259" w:lineRule="auto"/>
        <w:ind w:left="0" w:right="0" w:firstLine="0"/>
        <w:rPr>
          <w:rFonts w:ascii="Arial" w:hAnsi="Arial" w:cs="Arial"/>
        </w:rPr>
      </w:pPr>
      <w:r w:rsidRPr="00ED4F57">
        <w:rPr>
          <w:rFonts w:ascii="Arial" w:hAnsi="Arial" w:cs="Arial"/>
        </w:rPr>
        <w:t xml:space="preserve"> </w:t>
      </w:r>
    </w:p>
    <w:p w14:paraId="3998B7B9" w14:textId="77777777" w:rsidR="005F05EB" w:rsidRPr="00ED4F57" w:rsidRDefault="00E70C01">
      <w:pPr>
        <w:numPr>
          <w:ilvl w:val="1"/>
          <w:numId w:val="3"/>
        </w:numPr>
        <w:ind w:right="0" w:hanging="360"/>
        <w:rPr>
          <w:rFonts w:ascii="Arial" w:hAnsi="Arial" w:cs="Arial"/>
        </w:rPr>
      </w:pPr>
      <w:r w:rsidRPr="00ED4F57">
        <w:rPr>
          <w:rFonts w:ascii="Arial" w:hAnsi="Arial" w:cs="Arial"/>
        </w:rPr>
        <w:t xml:space="preserve">From appropriations made for payment of, or contributions to, amounts required to be paid in specific amount fixed by law or under formulas prescribed by </w:t>
      </w:r>
      <w:proofErr w:type="gramStart"/>
      <w:r w:rsidRPr="00ED4F57">
        <w:rPr>
          <w:rFonts w:ascii="Arial" w:hAnsi="Arial" w:cs="Arial"/>
        </w:rPr>
        <w:t>law;</w:t>
      </w:r>
      <w:proofErr w:type="gramEnd"/>
      <w:r w:rsidRPr="00ED4F57">
        <w:rPr>
          <w:rFonts w:ascii="Arial" w:hAnsi="Arial" w:cs="Arial"/>
        </w:rPr>
        <w:t xml:space="preserve"> </w:t>
      </w:r>
    </w:p>
    <w:p w14:paraId="32CD0D73" w14:textId="77777777" w:rsidR="005F05EB" w:rsidRPr="00ED4F57" w:rsidRDefault="00E70C01">
      <w:pPr>
        <w:spacing w:line="259" w:lineRule="auto"/>
        <w:ind w:left="1440" w:right="0" w:firstLine="0"/>
        <w:rPr>
          <w:rFonts w:ascii="Arial" w:hAnsi="Arial" w:cs="Arial"/>
        </w:rPr>
      </w:pPr>
      <w:r w:rsidRPr="00ED4F57">
        <w:rPr>
          <w:rFonts w:ascii="Arial" w:hAnsi="Arial" w:cs="Arial"/>
        </w:rPr>
        <w:t xml:space="preserve"> </w:t>
      </w:r>
    </w:p>
    <w:p w14:paraId="7F89B510" w14:textId="77777777" w:rsidR="005F05EB" w:rsidRPr="00ED4F57" w:rsidRDefault="00E70C01">
      <w:pPr>
        <w:numPr>
          <w:ilvl w:val="1"/>
          <w:numId w:val="3"/>
        </w:numPr>
        <w:ind w:right="0" w:hanging="360"/>
        <w:rPr>
          <w:rFonts w:ascii="Arial" w:hAnsi="Arial" w:cs="Arial"/>
        </w:rPr>
      </w:pPr>
      <w:r w:rsidRPr="00ED4F57">
        <w:rPr>
          <w:rFonts w:ascii="Arial" w:hAnsi="Arial" w:cs="Arial"/>
        </w:rPr>
        <w:lastRenderedPageBreak/>
        <w:t xml:space="preserve">Under an agreement authorized by law; or </w:t>
      </w:r>
    </w:p>
    <w:p w14:paraId="60F4212B" w14:textId="77777777" w:rsidR="005F05EB" w:rsidRPr="00ED4F57" w:rsidRDefault="00E70C01">
      <w:pPr>
        <w:spacing w:line="259" w:lineRule="auto"/>
        <w:ind w:left="1440" w:right="0" w:firstLine="0"/>
        <w:rPr>
          <w:rFonts w:ascii="Arial" w:hAnsi="Arial" w:cs="Arial"/>
        </w:rPr>
      </w:pPr>
      <w:r w:rsidRPr="00ED4F57">
        <w:rPr>
          <w:rFonts w:ascii="Arial" w:hAnsi="Arial" w:cs="Arial"/>
        </w:rPr>
        <w:t xml:space="preserve"> </w:t>
      </w:r>
    </w:p>
    <w:p w14:paraId="10A9604A" w14:textId="77777777" w:rsidR="005F05EB" w:rsidRPr="00ED4F57" w:rsidRDefault="00E70C01">
      <w:pPr>
        <w:numPr>
          <w:ilvl w:val="1"/>
          <w:numId w:val="3"/>
        </w:numPr>
        <w:ind w:right="0" w:hanging="360"/>
        <w:rPr>
          <w:rFonts w:ascii="Arial" w:hAnsi="Arial" w:cs="Arial"/>
        </w:rPr>
      </w:pPr>
      <w:r w:rsidRPr="00ED4F57">
        <w:rPr>
          <w:rFonts w:ascii="Arial" w:hAnsi="Arial" w:cs="Arial"/>
        </w:rPr>
        <w:t xml:space="preserve">Under plans approved consistent with and authorized by law. </w:t>
      </w:r>
    </w:p>
    <w:tbl>
      <w:tblPr>
        <w:tblStyle w:val="TableGrid"/>
        <w:tblW w:w="8657" w:type="dxa"/>
        <w:tblInd w:w="0" w:type="dxa"/>
        <w:tblLook w:val="04A0" w:firstRow="1" w:lastRow="0" w:firstColumn="1" w:lastColumn="0" w:noHBand="0" w:noVBand="1"/>
      </w:tblPr>
      <w:tblGrid>
        <w:gridCol w:w="1440"/>
        <w:gridCol w:w="7217"/>
      </w:tblGrid>
      <w:tr w:rsidR="005F05EB" w14:paraId="44257662" w14:textId="77777777">
        <w:trPr>
          <w:trHeight w:val="300"/>
        </w:trPr>
        <w:tc>
          <w:tcPr>
            <w:tcW w:w="1440" w:type="dxa"/>
            <w:tcBorders>
              <w:top w:val="nil"/>
              <w:left w:val="nil"/>
              <w:bottom w:val="nil"/>
              <w:right w:val="nil"/>
            </w:tcBorders>
          </w:tcPr>
          <w:p w14:paraId="4CDFBF6A" w14:textId="77777777" w:rsidR="005F05EB" w:rsidRDefault="00E70C01">
            <w:pPr>
              <w:spacing w:line="259" w:lineRule="auto"/>
              <w:ind w:left="60" w:right="0" w:firstLine="0"/>
              <w:jc w:val="center"/>
            </w:pPr>
            <w:r>
              <w:t xml:space="preserve"> </w:t>
            </w:r>
          </w:p>
        </w:tc>
        <w:tc>
          <w:tcPr>
            <w:tcW w:w="7217" w:type="dxa"/>
            <w:tcBorders>
              <w:top w:val="nil"/>
              <w:left w:val="nil"/>
              <w:bottom w:val="nil"/>
              <w:right w:val="nil"/>
            </w:tcBorders>
          </w:tcPr>
          <w:p w14:paraId="3EBF18C1" w14:textId="77777777" w:rsidR="005F05EB" w:rsidRDefault="005F05EB">
            <w:pPr>
              <w:spacing w:after="160" w:line="259" w:lineRule="auto"/>
              <w:ind w:left="0" w:right="0" w:firstLine="0"/>
            </w:pPr>
          </w:p>
        </w:tc>
      </w:tr>
      <w:tr w:rsidR="005F05EB" w14:paraId="4E2A625A" w14:textId="77777777">
        <w:trPr>
          <w:trHeight w:val="3588"/>
        </w:trPr>
        <w:tc>
          <w:tcPr>
            <w:tcW w:w="1440" w:type="dxa"/>
            <w:tcBorders>
              <w:top w:val="nil"/>
              <w:left w:val="nil"/>
              <w:bottom w:val="nil"/>
              <w:right w:val="nil"/>
            </w:tcBorders>
          </w:tcPr>
          <w:p w14:paraId="6C3B785F" w14:textId="7FC6B3BC" w:rsidR="005F05EB" w:rsidRPr="00ED4F57" w:rsidRDefault="00ED4F57" w:rsidP="00ED4F57">
            <w:pPr>
              <w:spacing w:line="259" w:lineRule="auto"/>
              <w:ind w:left="300" w:right="0" w:firstLine="0"/>
              <w:rPr>
                <w:rFonts w:ascii="Arial" w:hAnsi="Arial" w:cs="Arial"/>
                <w:b/>
                <w:bCs/>
              </w:rPr>
            </w:pPr>
            <w:r w:rsidRPr="00ED4F57">
              <w:rPr>
                <w:rFonts w:ascii="Arial" w:hAnsi="Arial" w:cs="Arial"/>
                <w:b/>
                <w:bCs/>
              </w:rPr>
              <w:t>4-2</w:t>
            </w:r>
          </w:p>
          <w:p w14:paraId="4085CE7F" w14:textId="77777777" w:rsidR="005F05EB" w:rsidRDefault="00E70C01">
            <w:pPr>
              <w:spacing w:line="259" w:lineRule="auto"/>
              <w:ind w:left="0" w:right="0" w:firstLine="0"/>
            </w:pPr>
            <w:r>
              <w:t xml:space="preserve"> </w:t>
            </w:r>
          </w:p>
        </w:tc>
        <w:tc>
          <w:tcPr>
            <w:tcW w:w="7217" w:type="dxa"/>
            <w:tcBorders>
              <w:top w:val="nil"/>
              <w:left w:val="nil"/>
              <w:bottom w:val="nil"/>
              <w:right w:val="nil"/>
            </w:tcBorders>
          </w:tcPr>
          <w:p w14:paraId="684FACE2" w14:textId="77777777" w:rsidR="005F05EB" w:rsidRPr="00ED4F57" w:rsidRDefault="00E70C01">
            <w:pPr>
              <w:spacing w:after="252" w:line="259" w:lineRule="auto"/>
              <w:ind w:left="0" w:right="0" w:firstLine="0"/>
              <w:rPr>
                <w:rFonts w:ascii="Arial" w:hAnsi="Arial" w:cs="Arial"/>
                <w:b/>
                <w:bCs/>
              </w:rPr>
            </w:pPr>
            <w:r w:rsidRPr="00ED4F57">
              <w:rPr>
                <w:rFonts w:ascii="Arial" w:hAnsi="Arial" w:cs="Arial"/>
                <w:b/>
                <w:bCs/>
                <w:u w:color="000000"/>
              </w:rPr>
              <w:t>Costs</w:t>
            </w:r>
            <w:r w:rsidRPr="00ED4F57">
              <w:rPr>
                <w:rFonts w:ascii="Arial" w:hAnsi="Arial" w:cs="Arial"/>
                <w:b/>
                <w:bCs/>
              </w:rPr>
              <w:t xml:space="preserve"> </w:t>
            </w:r>
          </w:p>
          <w:p w14:paraId="53A856A2" w14:textId="77777777" w:rsidR="005F05EB" w:rsidRPr="00ED4F57" w:rsidRDefault="00E70C01">
            <w:pPr>
              <w:spacing w:line="259" w:lineRule="auto"/>
              <w:ind w:left="0" w:right="0" w:firstLine="0"/>
              <w:rPr>
                <w:rFonts w:ascii="Arial" w:hAnsi="Arial" w:cs="Arial"/>
              </w:rPr>
            </w:pPr>
            <w:r w:rsidRPr="00ED4F57">
              <w:rPr>
                <w:rFonts w:ascii="Arial" w:hAnsi="Arial" w:cs="Arial"/>
              </w:rPr>
              <w:t xml:space="preserve">Grants will be recorded as costs: </w:t>
            </w:r>
          </w:p>
          <w:p w14:paraId="7C105A57" w14:textId="77777777" w:rsidR="005F05EB" w:rsidRPr="00ED4F57" w:rsidRDefault="00E70C01">
            <w:pPr>
              <w:spacing w:line="259" w:lineRule="auto"/>
              <w:ind w:left="0" w:right="0" w:firstLine="0"/>
              <w:rPr>
                <w:rFonts w:ascii="Arial" w:hAnsi="Arial" w:cs="Arial"/>
              </w:rPr>
            </w:pPr>
            <w:r w:rsidRPr="00ED4F57">
              <w:rPr>
                <w:rFonts w:ascii="Arial" w:hAnsi="Arial" w:cs="Arial"/>
              </w:rPr>
              <w:t xml:space="preserve"> </w:t>
            </w:r>
          </w:p>
          <w:p w14:paraId="1A66C57A" w14:textId="77777777" w:rsidR="005F05EB" w:rsidRPr="00ED4F57" w:rsidRDefault="00E70C01">
            <w:pPr>
              <w:numPr>
                <w:ilvl w:val="0"/>
                <w:numId w:val="4"/>
              </w:numPr>
              <w:spacing w:line="240" w:lineRule="auto"/>
              <w:ind w:right="51" w:hanging="360"/>
              <w:rPr>
                <w:rFonts w:ascii="Arial" w:hAnsi="Arial" w:cs="Arial"/>
              </w:rPr>
            </w:pPr>
            <w:r w:rsidRPr="00ED4F57">
              <w:rPr>
                <w:rFonts w:ascii="Arial" w:hAnsi="Arial" w:cs="Arial"/>
              </w:rPr>
              <w:t xml:space="preserve">At the time payment is made where the grantee does not have to provide for a specific performance </w:t>
            </w:r>
            <w:proofErr w:type="gramStart"/>
            <w:r w:rsidRPr="00ED4F57">
              <w:rPr>
                <w:rFonts w:ascii="Arial" w:hAnsi="Arial" w:cs="Arial"/>
              </w:rPr>
              <w:t>in order to</w:t>
            </w:r>
            <w:proofErr w:type="gramEnd"/>
            <w:r w:rsidRPr="00ED4F57">
              <w:rPr>
                <w:rFonts w:ascii="Arial" w:hAnsi="Arial" w:cs="Arial"/>
              </w:rPr>
              <w:t xml:space="preserve"> be eligible for the grant; or </w:t>
            </w:r>
          </w:p>
          <w:p w14:paraId="73B2952F" w14:textId="77777777" w:rsidR="005F05EB" w:rsidRPr="00ED4F57" w:rsidRDefault="00E70C01">
            <w:pPr>
              <w:spacing w:line="259" w:lineRule="auto"/>
              <w:ind w:left="0" w:right="0" w:firstLine="0"/>
              <w:rPr>
                <w:rFonts w:ascii="Arial" w:hAnsi="Arial" w:cs="Arial"/>
              </w:rPr>
            </w:pPr>
            <w:r w:rsidRPr="00ED4F57">
              <w:rPr>
                <w:rFonts w:ascii="Arial" w:hAnsi="Arial" w:cs="Arial"/>
              </w:rPr>
              <w:t xml:space="preserve"> </w:t>
            </w:r>
          </w:p>
          <w:p w14:paraId="2512314C" w14:textId="77777777" w:rsidR="005F05EB" w:rsidRPr="00ED4F57" w:rsidRDefault="00E70C01">
            <w:pPr>
              <w:numPr>
                <w:ilvl w:val="0"/>
                <w:numId w:val="4"/>
              </w:numPr>
              <w:spacing w:line="242" w:lineRule="auto"/>
              <w:ind w:right="51" w:hanging="360"/>
              <w:rPr>
                <w:rFonts w:ascii="Arial" w:hAnsi="Arial" w:cs="Arial"/>
              </w:rPr>
            </w:pPr>
            <w:r w:rsidRPr="00ED4F57">
              <w:rPr>
                <w:rFonts w:ascii="Arial" w:hAnsi="Arial" w:cs="Arial"/>
              </w:rPr>
              <w:t xml:space="preserve">Each accounting period (month) when periodic performance reports are required.  If payments are made prior to submission of </w:t>
            </w:r>
          </w:p>
          <w:p w14:paraId="45FA08F3" w14:textId="77777777" w:rsidR="005F05EB" w:rsidRPr="00ED4F57" w:rsidRDefault="00E70C01">
            <w:pPr>
              <w:spacing w:line="238" w:lineRule="auto"/>
              <w:ind w:left="360" w:right="0" w:firstLine="0"/>
              <w:rPr>
                <w:rFonts w:ascii="Arial" w:hAnsi="Arial" w:cs="Arial"/>
              </w:rPr>
            </w:pPr>
            <w:r w:rsidRPr="00ED4F57">
              <w:rPr>
                <w:rFonts w:ascii="Arial" w:hAnsi="Arial" w:cs="Arial"/>
              </w:rPr>
              <w:t xml:space="preserve">performance reports, such payments will be recorded as advances until performance occurs. </w:t>
            </w:r>
          </w:p>
          <w:p w14:paraId="2436320A" w14:textId="77777777" w:rsidR="005F05EB" w:rsidRDefault="00E70C01">
            <w:pPr>
              <w:spacing w:line="259" w:lineRule="auto"/>
              <w:ind w:left="0" w:right="0" w:firstLine="0"/>
            </w:pPr>
            <w:r>
              <w:t xml:space="preserve"> </w:t>
            </w:r>
          </w:p>
        </w:tc>
      </w:tr>
      <w:tr w:rsidR="005F05EB" w14:paraId="09A190BD" w14:textId="77777777">
        <w:trPr>
          <w:trHeight w:val="4140"/>
        </w:trPr>
        <w:tc>
          <w:tcPr>
            <w:tcW w:w="1440" w:type="dxa"/>
            <w:tcBorders>
              <w:top w:val="nil"/>
              <w:left w:val="nil"/>
              <w:bottom w:val="nil"/>
              <w:right w:val="nil"/>
            </w:tcBorders>
          </w:tcPr>
          <w:p w14:paraId="5F6454A0" w14:textId="0CDBFFF6" w:rsidR="005F05EB" w:rsidRPr="00ED4F57" w:rsidRDefault="00ED4F57" w:rsidP="00ED4F57">
            <w:pPr>
              <w:spacing w:line="259" w:lineRule="auto"/>
              <w:ind w:left="300" w:right="0" w:firstLine="0"/>
              <w:rPr>
                <w:rFonts w:ascii="Arial" w:hAnsi="Arial" w:cs="Arial"/>
                <w:b/>
                <w:bCs/>
              </w:rPr>
            </w:pPr>
            <w:r w:rsidRPr="00ED4F57">
              <w:rPr>
                <w:rFonts w:ascii="Arial" w:hAnsi="Arial" w:cs="Arial"/>
                <w:b/>
                <w:bCs/>
              </w:rPr>
              <w:t>4-3</w:t>
            </w:r>
          </w:p>
          <w:p w14:paraId="1D308FC5" w14:textId="77777777" w:rsidR="005F05EB" w:rsidRDefault="00E70C01">
            <w:pPr>
              <w:spacing w:line="259" w:lineRule="auto"/>
              <w:ind w:left="0" w:right="0" w:firstLine="0"/>
            </w:pPr>
            <w:r>
              <w:t xml:space="preserve"> </w:t>
            </w:r>
          </w:p>
          <w:p w14:paraId="388ABA3F" w14:textId="77777777" w:rsidR="00ED4F57" w:rsidRPr="00ED4F57" w:rsidRDefault="00ED4F57" w:rsidP="00ED4F57"/>
          <w:p w14:paraId="59308995" w14:textId="77777777" w:rsidR="00ED4F57" w:rsidRPr="00ED4F57" w:rsidRDefault="00ED4F57" w:rsidP="00ED4F57"/>
          <w:p w14:paraId="46B37A0E" w14:textId="77777777" w:rsidR="00ED4F57" w:rsidRPr="00ED4F57" w:rsidRDefault="00ED4F57" w:rsidP="00ED4F57"/>
          <w:p w14:paraId="2FAF9EFB" w14:textId="77777777" w:rsidR="00ED4F57" w:rsidRPr="00ED4F57" w:rsidRDefault="00ED4F57" w:rsidP="00ED4F57"/>
          <w:p w14:paraId="270F65C1" w14:textId="77777777" w:rsidR="00ED4F57" w:rsidRPr="00ED4F57" w:rsidRDefault="00ED4F57" w:rsidP="00ED4F57">
            <w:pPr>
              <w:ind w:left="0" w:firstLine="0"/>
            </w:pPr>
          </w:p>
        </w:tc>
        <w:tc>
          <w:tcPr>
            <w:tcW w:w="7217" w:type="dxa"/>
            <w:tcBorders>
              <w:top w:val="nil"/>
              <w:left w:val="nil"/>
              <w:bottom w:val="nil"/>
              <w:right w:val="nil"/>
            </w:tcBorders>
          </w:tcPr>
          <w:p w14:paraId="14BF589C" w14:textId="77777777" w:rsidR="005F05EB" w:rsidRPr="00ED4F57" w:rsidRDefault="00E70C01">
            <w:pPr>
              <w:spacing w:after="252" w:line="259" w:lineRule="auto"/>
              <w:ind w:left="0" w:right="0" w:firstLine="0"/>
              <w:rPr>
                <w:rFonts w:ascii="Arial" w:hAnsi="Arial" w:cs="Arial"/>
                <w:b/>
                <w:bCs/>
              </w:rPr>
            </w:pPr>
            <w:r w:rsidRPr="00ED4F57">
              <w:rPr>
                <w:rFonts w:ascii="Arial" w:hAnsi="Arial" w:cs="Arial"/>
                <w:b/>
                <w:bCs/>
                <w:u w:color="000000"/>
              </w:rPr>
              <w:t>Subsidies</w:t>
            </w:r>
            <w:r w:rsidRPr="00ED4F57">
              <w:rPr>
                <w:rFonts w:ascii="Arial" w:hAnsi="Arial" w:cs="Arial"/>
                <w:b/>
                <w:bCs/>
              </w:rPr>
              <w:t xml:space="preserve"> </w:t>
            </w:r>
          </w:p>
          <w:p w14:paraId="0BB714B1" w14:textId="77777777" w:rsidR="005F05EB" w:rsidRPr="00ED4F57" w:rsidRDefault="00E70C01">
            <w:pPr>
              <w:spacing w:line="259" w:lineRule="auto"/>
              <w:ind w:left="0" w:right="0" w:firstLine="0"/>
              <w:rPr>
                <w:rFonts w:ascii="Arial" w:hAnsi="Arial" w:cs="Arial"/>
              </w:rPr>
            </w:pPr>
            <w:r w:rsidRPr="00ED4F57">
              <w:rPr>
                <w:rFonts w:ascii="Arial" w:hAnsi="Arial" w:cs="Arial"/>
              </w:rPr>
              <w:t xml:space="preserve">Subsidies will be recorded each accounting period as estimated costs are incurred by the grantee.  Estimated costs shall be adjusted to actual at the time significant progress is reported under the terms of the contract.  </w:t>
            </w:r>
            <w:proofErr w:type="gramStart"/>
            <w:r w:rsidRPr="00ED4F57">
              <w:rPr>
                <w:rFonts w:ascii="Arial" w:hAnsi="Arial" w:cs="Arial"/>
              </w:rPr>
              <w:t>Full</w:t>
            </w:r>
            <w:proofErr w:type="gramEnd"/>
            <w:r w:rsidRPr="00ED4F57">
              <w:rPr>
                <w:rFonts w:ascii="Arial" w:hAnsi="Arial" w:cs="Arial"/>
              </w:rPr>
              <w:t xml:space="preserve"> cost of the subsidy should be recorded with offsetting liability for retained percentages. </w:t>
            </w:r>
          </w:p>
        </w:tc>
      </w:tr>
      <w:tr w:rsidR="005F05EB" w14:paraId="6AFDCD6C" w14:textId="77777777">
        <w:trPr>
          <w:trHeight w:val="2484"/>
        </w:trPr>
        <w:tc>
          <w:tcPr>
            <w:tcW w:w="1440" w:type="dxa"/>
            <w:tcBorders>
              <w:top w:val="nil"/>
              <w:left w:val="nil"/>
              <w:bottom w:val="nil"/>
              <w:right w:val="nil"/>
            </w:tcBorders>
          </w:tcPr>
          <w:p w14:paraId="163A4C40" w14:textId="5F5862E5" w:rsidR="005F05EB" w:rsidRPr="00ED4F57" w:rsidRDefault="00ED4F57" w:rsidP="00ED4F57">
            <w:pPr>
              <w:spacing w:after="1908" w:line="259" w:lineRule="auto"/>
              <w:ind w:left="300" w:right="0" w:firstLine="0"/>
              <w:rPr>
                <w:rFonts w:ascii="Arial" w:hAnsi="Arial" w:cs="Arial"/>
                <w:b/>
                <w:bCs/>
              </w:rPr>
            </w:pPr>
            <w:r w:rsidRPr="00ED4F57">
              <w:rPr>
                <w:rFonts w:ascii="Arial" w:hAnsi="Arial" w:cs="Arial"/>
                <w:b/>
                <w:bCs/>
              </w:rPr>
              <w:t>4-3</w:t>
            </w:r>
            <w:r w:rsidR="00E70C01" w:rsidRPr="00ED4F57">
              <w:rPr>
                <w:rFonts w:ascii="Arial" w:hAnsi="Arial" w:cs="Arial"/>
                <w:b/>
                <w:bCs/>
              </w:rPr>
              <w:t xml:space="preserve"> </w:t>
            </w:r>
          </w:p>
          <w:p w14:paraId="558BDF75" w14:textId="77777777" w:rsidR="005F05EB" w:rsidRDefault="00E70C01">
            <w:pPr>
              <w:spacing w:line="259" w:lineRule="auto"/>
              <w:ind w:left="0" w:right="0" w:firstLine="0"/>
            </w:pPr>
            <w:r>
              <w:t xml:space="preserve"> </w:t>
            </w:r>
          </w:p>
        </w:tc>
        <w:tc>
          <w:tcPr>
            <w:tcW w:w="7217" w:type="dxa"/>
            <w:tcBorders>
              <w:top w:val="nil"/>
              <w:left w:val="nil"/>
              <w:bottom w:val="nil"/>
              <w:right w:val="nil"/>
            </w:tcBorders>
          </w:tcPr>
          <w:p w14:paraId="72086BC9" w14:textId="77777777" w:rsidR="005F05EB" w:rsidRPr="00ED4F57" w:rsidRDefault="00E70C01">
            <w:pPr>
              <w:spacing w:line="259" w:lineRule="auto"/>
              <w:ind w:left="0" w:right="0" w:firstLine="0"/>
              <w:rPr>
                <w:rFonts w:ascii="Arial" w:hAnsi="Arial" w:cs="Arial"/>
                <w:b/>
                <w:bCs/>
              </w:rPr>
            </w:pPr>
            <w:r w:rsidRPr="00ED4F57">
              <w:rPr>
                <w:rFonts w:ascii="Arial" w:hAnsi="Arial" w:cs="Arial"/>
                <w:b/>
                <w:bCs/>
                <w:u w:color="000000"/>
              </w:rPr>
              <w:t>Accrued Expenditures</w:t>
            </w:r>
            <w:r w:rsidRPr="00ED4F57">
              <w:rPr>
                <w:rFonts w:ascii="Arial" w:hAnsi="Arial" w:cs="Arial"/>
                <w:b/>
                <w:bCs/>
              </w:rPr>
              <w:t xml:space="preserve"> </w:t>
            </w:r>
          </w:p>
          <w:p w14:paraId="481BE785" w14:textId="77777777" w:rsidR="005F05EB" w:rsidRDefault="00E70C01">
            <w:pPr>
              <w:spacing w:line="259" w:lineRule="auto"/>
              <w:ind w:left="0" w:right="0" w:firstLine="0"/>
            </w:pPr>
            <w:r>
              <w:t xml:space="preserve"> </w:t>
            </w:r>
          </w:p>
          <w:p w14:paraId="718DA990" w14:textId="77777777" w:rsidR="005F05EB" w:rsidRPr="00ED4F57" w:rsidRDefault="00E70C01">
            <w:pPr>
              <w:spacing w:line="259" w:lineRule="auto"/>
              <w:ind w:left="0" w:right="0" w:firstLine="0"/>
              <w:rPr>
                <w:rFonts w:ascii="Arial" w:hAnsi="Arial" w:cs="Arial"/>
              </w:rPr>
            </w:pPr>
            <w:r w:rsidRPr="00ED4F57">
              <w:rPr>
                <w:rFonts w:ascii="Arial" w:hAnsi="Arial" w:cs="Arial"/>
              </w:rPr>
              <w:t xml:space="preserve">Cost and accrued expenditures shall be recognized based upon </w:t>
            </w:r>
          </w:p>
          <w:p w14:paraId="62AEE7C1" w14:textId="77777777" w:rsidR="005F05EB" w:rsidRDefault="00E70C01">
            <w:pPr>
              <w:spacing w:line="259" w:lineRule="auto"/>
              <w:ind w:left="0" w:right="0" w:firstLine="0"/>
            </w:pPr>
            <w:r w:rsidRPr="00ED4F57">
              <w:rPr>
                <w:rFonts w:ascii="Arial" w:hAnsi="Arial" w:cs="Arial"/>
              </w:rPr>
              <w:t xml:space="preserve">performance by the recipients.  Accrued </w:t>
            </w:r>
            <w:proofErr w:type="gramStart"/>
            <w:r w:rsidRPr="00ED4F57">
              <w:rPr>
                <w:rFonts w:ascii="Arial" w:hAnsi="Arial" w:cs="Arial"/>
              </w:rPr>
              <w:t>expenditures</w:t>
            </w:r>
            <w:proofErr w:type="gramEnd"/>
            <w:r w:rsidRPr="00ED4F57">
              <w:rPr>
                <w:rFonts w:ascii="Arial" w:hAnsi="Arial" w:cs="Arial"/>
              </w:rPr>
              <w:t xml:space="preserve"> shall be determined, whenever reasonably practicable, </w:t>
            </w:r>
            <w:proofErr w:type="gramStart"/>
            <w:r w:rsidRPr="00ED4F57">
              <w:rPr>
                <w:rFonts w:ascii="Arial" w:hAnsi="Arial" w:cs="Arial"/>
              </w:rPr>
              <w:t>on the basis of</w:t>
            </w:r>
            <w:proofErr w:type="gramEnd"/>
            <w:r w:rsidRPr="00ED4F57">
              <w:rPr>
                <w:rFonts w:ascii="Arial" w:hAnsi="Arial" w:cs="Arial"/>
              </w:rPr>
              <w:t xml:space="preserve"> actual performance.  Whenever it is not practicable to obtain timely performance reports, projections, estimates, or extrapolations based on experience, statistical sampling or mathematical models may be used.</w:t>
            </w:r>
            <w:r>
              <w:t xml:space="preserve"> </w:t>
            </w:r>
          </w:p>
        </w:tc>
      </w:tr>
      <w:tr w:rsidR="005F05EB" w14:paraId="7067E7BF" w14:textId="77777777">
        <w:trPr>
          <w:trHeight w:val="1128"/>
        </w:trPr>
        <w:tc>
          <w:tcPr>
            <w:tcW w:w="1440" w:type="dxa"/>
            <w:tcBorders>
              <w:top w:val="nil"/>
              <w:left w:val="nil"/>
              <w:bottom w:val="nil"/>
              <w:right w:val="nil"/>
            </w:tcBorders>
          </w:tcPr>
          <w:p w14:paraId="25BEA12C" w14:textId="1B5EE567" w:rsidR="005F05EB" w:rsidRPr="00ED4F57" w:rsidRDefault="00ED4F57" w:rsidP="00ED4F57">
            <w:pPr>
              <w:spacing w:line="259" w:lineRule="auto"/>
              <w:ind w:left="300" w:right="0" w:firstLine="0"/>
              <w:rPr>
                <w:rFonts w:ascii="Arial" w:hAnsi="Arial" w:cs="Arial"/>
                <w:b/>
                <w:bCs/>
              </w:rPr>
            </w:pPr>
            <w:r w:rsidRPr="00ED4F57">
              <w:rPr>
                <w:rFonts w:ascii="Arial" w:hAnsi="Arial" w:cs="Arial"/>
                <w:b/>
                <w:bCs/>
              </w:rPr>
              <w:lastRenderedPageBreak/>
              <w:t>4-</w:t>
            </w:r>
            <w:r w:rsidR="00E70C01" w:rsidRPr="00ED4F57">
              <w:rPr>
                <w:rFonts w:ascii="Arial" w:hAnsi="Arial" w:cs="Arial"/>
                <w:b/>
                <w:bCs/>
              </w:rPr>
              <w:t xml:space="preserve">5 </w:t>
            </w:r>
          </w:p>
          <w:p w14:paraId="1D39CF0E" w14:textId="77777777" w:rsidR="005F05EB" w:rsidRDefault="00E70C01" w:rsidP="00ED4F57">
            <w:pPr>
              <w:spacing w:line="259" w:lineRule="auto"/>
              <w:ind w:left="0" w:right="0" w:firstLine="0"/>
            </w:pPr>
            <w:r>
              <w:t xml:space="preserve"> </w:t>
            </w:r>
          </w:p>
        </w:tc>
        <w:tc>
          <w:tcPr>
            <w:tcW w:w="7217" w:type="dxa"/>
            <w:tcBorders>
              <w:top w:val="nil"/>
              <w:left w:val="nil"/>
              <w:bottom w:val="nil"/>
              <w:right w:val="nil"/>
            </w:tcBorders>
          </w:tcPr>
          <w:p w14:paraId="4DC91D28" w14:textId="77777777" w:rsidR="005F05EB" w:rsidRPr="00ED4F57" w:rsidRDefault="00E70C01" w:rsidP="00ED4F57">
            <w:pPr>
              <w:spacing w:line="259" w:lineRule="auto"/>
              <w:ind w:left="300" w:right="0" w:firstLine="0"/>
              <w:rPr>
                <w:rFonts w:ascii="Arial" w:hAnsi="Arial" w:cs="Arial"/>
                <w:b/>
                <w:bCs/>
              </w:rPr>
            </w:pPr>
            <w:r w:rsidRPr="00ED4F57">
              <w:rPr>
                <w:rFonts w:ascii="Arial" w:hAnsi="Arial" w:cs="Arial"/>
                <w:b/>
                <w:bCs/>
              </w:rPr>
              <w:t xml:space="preserve">Financial Statement Disclosure </w:t>
            </w:r>
          </w:p>
          <w:p w14:paraId="5CF8DA7A" w14:textId="77777777" w:rsidR="00ED4F57" w:rsidRPr="00ED4F57" w:rsidRDefault="00ED4F57" w:rsidP="00ED4F57">
            <w:pPr>
              <w:spacing w:line="259" w:lineRule="auto"/>
              <w:ind w:left="300" w:right="0" w:firstLine="0"/>
              <w:rPr>
                <w:rFonts w:ascii="Arial" w:hAnsi="Arial" w:cs="Arial"/>
                <w:b/>
                <w:bCs/>
              </w:rPr>
            </w:pPr>
          </w:p>
          <w:p w14:paraId="377075E7" w14:textId="77777777" w:rsidR="005F05EB" w:rsidRPr="00ED4F57" w:rsidRDefault="00E70C01" w:rsidP="00ED4F57">
            <w:pPr>
              <w:spacing w:line="259" w:lineRule="auto"/>
              <w:ind w:left="0" w:right="0" w:firstLine="0"/>
              <w:rPr>
                <w:rFonts w:ascii="Arial" w:hAnsi="Arial" w:cs="Arial"/>
              </w:rPr>
            </w:pPr>
            <w:proofErr w:type="gramStart"/>
            <w:r w:rsidRPr="00ED4F57">
              <w:rPr>
                <w:rFonts w:ascii="Arial" w:hAnsi="Arial" w:cs="Arial"/>
              </w:rPr>
              <w:t>Amounts</w:t>
            </w:r>
            <w:proofErr w:type="gramEnd"/>
            <w:r w:rsidRPr="00ED4F57">
              <w:rPr>
                <w:rFonts w:ascii="Arial" w:hAnsi="Arial" w:cs="Arial"/>
              </w:rPr>
              <w:t xml:space="preserve"> of assistance awards to be made in future periods shall be disclosed in the footnotes to the financial statements. </w:t>
            </w:r>
          </w:p>
        </w:tc>
      </w:tr>
    </w:tbl>
    <w:p w14:paraId="5D327981" w14:textId="77777777" w:rsidR="005F05EB" w:rsidRDefault="00E70C01">
      <w:pPr>
        <w:spacing w:line="259" w:lineRule="auto"/>
        <w:ind w:left="0" w:right="0" w:firstLine="0"/>
      </w:pPr>
      <w:r>
        <w:t xml:space="preserve"> </w:t>
      </w:r>
    </w:p>
    <w:p w14:paraId="746C3216" w14:textId="21E01252" w:rsidR="005F05EB" w:rsidRDefault="00E70C01" w:rsidP="00ED4F57">
      <w:pPr>
        <w:pStyle w:val="Heading3"/>
        <w:tabs>
          <w:tab w:val="left" w:pos="924"/>
          <w:tab w:val="left" w:pos="927"/>
        </w:tabs>
        <w:spacing w:before="1"/>
        <w:ind w:left="0" w:right="769" w:firstLine="0"/>
      </w:pPr>
      <w:r w:rsidRPr="00ED4F57">
        <w:t xml:space="preserve">Section 5.0 </w:t>
      </w:r>
      <w:r w:rsidR="00ED4F57">
        <w:t xml:space="preserve">- </w:t>
      </w:r>
      <w:r w:rsidRPr="00ED4F57">
        <w:t>Advance Financing</w:t>
      </w:r>
      <w:r>
        <w:t xml:space="preserve"> </w:t>
      </w:r>
    </w:p>
    <w:p w14:paraId="75CA693B" w14:textId="77777777" w:rsidR="005F05EB" w:rsidRDefault="00E70C01">
      <w:pPr>
        <w:spacing w:line="259" w:lineRule="auto"/>
        <w:ind w:left="0" w:right="0" w:firstLine="0"/>
      </w:pPr>
      <w:r>
        <w:t xml:space="preserve"> </w:t>
      </w:r>
    </w:p>
    <w:p w14:paraId="7133E45B" w14:textId="77777777" w:rsidR="005F05EB" w:rsidRPr="00ED4F57" w:rsidRDefault="00E70C01">
      <w:pPr>
        <w:ind w:left="0" w:right="0" w:firstLine="0"/>
        <w:rPr>
          <w:rFonts w:ascii="Arial" w:hAnsi="Arial" w:cs="Arial"/>
        </w:rPr>
      </w:pPr>
      <w:r w:rsidRPr="00ED4F57">
        <w:rPr>
          <w:rFonts w:ascii="Arial" w:hAnsi="Arial" w:cs="Arial"/>
        </w:rPr>
        <w:t xml:space="preserve">Department of the Treasury regulations require the use of </w:t>
      </w:r>
      <w:proofErr w:type="gramStart"/>
      <w:r w:rsidRPr="00ED4F57">
        <w:rPr>
          <w:rFonts w:ascii="Arial" w:hAnsi="Arial" w:cs="Arial"/>
        </w:rPr>
        <w:t>advance</w:t>
      </w:r>
      <w:proofErr w:type="gramEnd"/>
      <w:r w:rsidRPr="00ED4F57">
        <w:rPr>
          <w:rFonts w:ascii="Arial" w:hAnsi="Arial" w:cs="Arial"/>
        </w:rPr>
        <w:t xml:space="preserve"> financing techniques where practicable for certain types of grants, contributions, and other programs.  Control and subsidiary accounts for advances issued shall be established within the accounting system(s). </w:t>
      </w:r>
    </w:p>
    <w:p w14:paraId="6ECC74DC" w14:textId="77777777" w:rsidR="005F05EB" w:rsidRPr="00ED4F57" w:rsidRDefault="00E70C01">
      <w:pPr>
        <w:spacing w:line="259" w:lineRule="auto"/>
        <w:ind w:left="0" w:right="0" w:firstLine="0"/>
        <w:rPr>
          <w:rFonts w:ascii="Arial" w:hAnsi="Arial" w:cs="Arial"/>
        </w:rPr>
      </w:pPr>
      <w:r w:rsidRPr="00ED4F57">
        <w:rPr>
          <w:rFonts w:ascii="Arial" w:hAnsi="Arial" w:cs="Arial"/>
        </w:rPr>
        <w:t xml:space="preserve"> </w:t>
      </w:r>
    </w:p>
    <w:p w14:paraId="34AC1B3A" w14:textId="479D2DCF" w:rsidR="005F05EB" w:rsidRPr="00ED4F57" w:rsidRDefault="00E70C01" w:rsidP="00ED4F57">
      <w:pPr>
        <w:pStyle w:val="Heading3"/>
        <w:tabs>
          <w:tab w:val="left" w:pos="924"/>
          <w:tab w:val="left" w:pos="927"/>
        </w:tabs>
        <w:spacing w:before="1"/>
        <w:ind w:left="0" w:right="769" w:firstLine="0"/>
      </w:pPr>
      <w:r w:rsidRPr="00ED4F57">
        <w:t xml:space="preserve">Section 6.0 </w:t>
      </w:r>
      <w:r w:rsidR="00ED4F57">
        <w:t xml:space="preserve">- </w:t>
      </w:r>
      <w:r w:rsidRPr="00ED4F57">
        <w:t xml:space="preserve">Grants Management </w:t>
      </w:r>
    </w:p>
    <w:p w14:paraId="499D4AEC" w14:textId="77777777" w:rsidR="005F05EB" w:rsidRPr="00ED4F57" w:rsidRDefault="00E70C01">
      <w:pPr>
        <w:spacing w:line="259" w:lineRule="auto"/>
        <w:ind w:left="0" w:right="0" w:firstLine="0"/>
        <w:rPr>
          <w:rFonts w:ascii="Arial" w:hAnsi="Arial" w:cs="Arial"/>
        </w:rPr>
      </w:pPr>
      <w:r w:rsidRPr="00ED4F57">
        <w:rPr>
          <w:rFonts w:ascii="Arial" w:hAnsi="Arial" w:cs="Arial"/>
        </w:rPr>
        <w:t xml:space="preserve"> </w:t>
      </w:r>
    </w:p>
    <w:p w14:paraId="406D1C67" w14:textId="57F478A4" w:rsidR="005F05EB" w:rsidRPr="00ED4F57" w:rsidRDefault="00E70C01" w:rsidP="00ED4F57">
      <w:pPr>
        <w:ind w:left="0" w:right="0" w:firstLine="0"/>
        <w:rPr>
          <w:rFonts w:ascii="Arial" w:hAnsi="Arial" w:cs="Arial"/>
        </w:rPr>
      </w:pPr>
      <w:r w:rsidRPr="00ED4F57">
        <w:rPr>
          <w:rFonts w:ascii="Arial" w:hAnsi="Arial" w:cs="Arial"/>
        </w:rPr>
        <w:t xml:space="preserve">The Office of Acquisition Management (OAM) is responsible for developing, issuing and overseeing the implementation of policies and procedures for the administration of DOC financial assistance programs.  Information on DOC grant and cooperative agreement regulations and forms are available through the Department’s </w:t>
      </w:r>
      <w:hyperlink r:id="rId44">
        <w:r w:rsidRPr="00ED4F57">
          <w:rPr>
            <w:rFonts w:ascii="Arial" w:hAnsi="Arial" w:cs="Arial"/>
            <w:color w:val="0000FF"/>
            <w:u w:val="single" w:color="0000FF"/>
          </w:rPr>
          <w:t>Office of Acquisition</w:t>
        </w:r>
      </w:hyperlink>
      <w:hyperlink r:id="rId45">
        <w:r w:rsidRPr="00ED4F57">
          <w:rPr>
            <w:rFonts w:ascii="Arial" w:hAnsi="Arial" w:cs="Arial"/>
            <w:color w:val="0000FF"/>
          </w:rPr>
          <w:t xml:space="preserve"> </w:t>
        </w:r>
      </w:hyperlink>
      <w:hyperlink r:id="rId46">
        <w:r w:rsidRPr="00ED4F57">
          <w:rPr>
            <w:rFonts w:ascii="Arial" w:hAnsi="Arial" w:cs="Arial"/>
            <w:color w:val="0000FF"/>
            <w:u w:val="single" w:color="0000FF"/>
          </w:rPr>
          <w:t>Management, Grants Management Division</w:t>
        </w:r>
      </w:hyperlink>
      <w:hyperlink r:id="rId47">
        <w:r w:rsidRPr="00ED4F57">
          <w:rPr>
            <w:rFonts w:ascii="Arial" w:hAnsi="Arial" w:cs="Arial"/>
          </w:rPr>
          <w:t>.</w:t>
        </w:r>
      </w:hyperlink>
      <w:r w:rsidRPr="00ED4F57">
        <w:rPr>
          <w:rFonts w:ascii="Arial" w:hAnsi="Arial" w:cs="Arial"/>
        </w:rPr>
        <w:t xml:space="preserve"> </w:t>
      </w:r>
    </w:p>
    <w:p w14:paraId="34E77795" w14:textId="77777777" w:rsidR="005F05EB" w:rsidRPr="00ED4F57" w:rsidRDefault="00E70C01">
      <w:pPr>
        <w:spacing w:line="259" w:lineRule="auto"/>
        <w:ind w:left="0" w:right="0" w:firstLine="0"/>
        <w:rPr>
          <w:rFonts w:ascii="Arial" w:hAnsi="Arial" w:cs="Arial"/>
        </w:rPr>
      </w:pPr>
      <w:r w:rsidRPr="00ED4F57">
        <w:rPr>
          <w:rFonts w:ascii="Arial" w:hAnsi="Arial" w:cs="Arial"/>
        </w:rPr>
        <w:t xml:space="preserve"> </w:t>
      </w:r>
    </w:p>
    <w:p w14:paraId="2EE352A4" w14:textId="77777777" w:rsidR="005F05EB" w:rsidRPr="00ED4F57" w:rsidRDefault="00E70C01">
      <w:pPr>
        <w:spacing w:line="259" w:lineRule="auto"/>
        <w:ind w:left="0" w:right="0" w:firstLine="0"/>
        <w:rPr>
          <w:rFonts w:ascii="Arial" w:hAnsi="Arial" w:cs="Arial"/>
        </w:rPr>
      </w:pPr>
      <w:r w:rsidRPr="00ED4F57">
        <w:rPr>
          <w:rFonts w:ascii="Arial" w:hAnsi="Arial" w:cs="Arial"/>
        </w:rPr>
        <w:t xml:space="preserve"> </w:t>
      </w:r>
    </w:p>
    <w:p w14:paraId="61E62A4E" w14:textId="0A0326C9" w:rsidR="005F05EB" w:rsidRPr="00ED4F57" w:rsidRDefault="00E70C01" w:rsidP="00ED4F57">
      <w:pPr>
        <w:pStyle w:val="Heading3"/>
        <w:tabs>
          <w:tab w:val="left" w:pos="924"/>
          <w:tab w:val="left" w:pos="927"/>
        </w:tabs>
        <w:spacing w:before="1"/>
        <w:ind w:left="0" w:right="769" w:firstLine="0"/>
      </w:pPr>
      <w:r w:rsidRPr="00ED4F57">
        <w:t>Section 7.0</w:t>
      </w:r>
      <w:r w:rsidR="00ED4F57">
        <w:t xml:space="preserve"> -</w:t>
      </w:r>
      <w:r w:rsidRPr="00ED4F57">
        <w:t xml:space="preserve"> Bureau Evaluations of Material or Significant Possible or Actual Unusual Accounting Transactions </w:t>
      </w:r>
    </w:p>
    <w:p w14:paraId="55F1CC2D" w14:textId="77777777" w:rsidR="005F05EB" w:rsidRPr="00ED4F57" w:rsidRDefault="00E70C01">
      <w:pPr>
        <w:spacing w:line="259" w:lineRule="auto"/>
        <w:ind w:left="0" w:right="0" w:firstLine="0"/>
        <w:rPr>
          <w:rFonts w:ascii="Arial" w:hAnsi="Arial" w:cs="Arial"/>
        </w:rPr>
      </w:pPr>
      <w:r w:rsidRPr="00ED4F57">
        <w:rPr>
          <w:rFonts w:ascii="Arial" w:hAnsi="Arial" w:cs="Arial"/>
        </w:rPr>
        <w:t xml:space="preserve"> </w:t>
      </w:r>
    </w:p>
    <w:p w14:paraId="5080607A" w14:textId="7EC70CF4" w:rsidR="005F05EB" w:rsidRPr="00ED4F57" w:rsidRDefault="00E70C01" w:rsidP="00ED4F57">
      <w:pPr>
        <w:ind w:left="0" w:right="0" w:firstLine="0"/>
        <w:rPr>
          <w:rFonts w:ascii="Arial" w:hAnsi="Arial" w:cs="Arial"/>
        </w:rPr>
      </w:pPr>
      <w:r w:rsidRPr="00ED4F57">
        <w:rPr>
          <w:rFonts w:ascii="Arial" w:hAnsi="Arial" w:cs="Arial"/>
        </w:rPr>
        <w:t xml:space="preserve">Bureaus are required to evaluate material or significant possible or actual unusual accounting transactions (e.g. a possible or actual accrued receivable/revenue or accrued payable/expense or asset, a possible, anticipated, or actual transfer, a possible, anticipated, or actual budgetary resource or reduction of budgetary resources, a possible or actual contingency), regardless of whether the item has been apportioned or not apportioned on the SF 132, </w:t>
      </w:r>
      <w:r w:rsidRPr="00ED4F57">
        <w:rPr>
          <w:rFonts w:ascii="Arial" w:hAnsi="Arial" w:cs="Arial"/>
          <w:i/>
        </w:rPr>
        <w:t xml:space="preserve">Apportionment and Reapportionment Schedule, </w:t>
      </w:r>
      <w:r w:rsidRPr="00ED4F57">
        <w:rPr>
          <w:rFonts w:ascii="Arial" w:hAnsi="Arial" w:cs="Arial"/>
        </w:rPr>
        <w:t xml:space="preserve">and research if a) a proprietary accounting transaction(s) should be recorded; b) a budgetary accounting transaction should be recorded; and c) if yes to either a) or b), the appropriate accounting transactions that should be recorded and when (month/year) the accounting transactions should be recorded. </w:t>
      </w:r>
    </w:p>
    <w:p w14:paraId="68021A6F" w14:textId="77777777" w:rsidR="005F05EB" w:rsidRPr="00ED4F57" w:rsidRDefault="00E70C01">
      <w:pPr>
        <w:spacing w:line="259" w:lineRule="auto"/>
        <w:ind w:left="0" w:right="0" w:firstLine="0"/>
        <w:rPr>
          <w:rFonts w:ascii="Arial" w:hAnsi="Arial" w:cs="Arial"/>
        </w:rPr>
      </w:pPr>
      <w:r w:rsidRPr="00ED4F57">
        <w:rPr>
          <w:rFonts w:ascii="Arial" w:hAnsi="Arial" w:cs="Arial"/>
        </w:rPr>
        <w:t xml:space="preserve"> </w:t>
      </w:r>
    </w:p>
    <w:p w14:paraId="33BD06AA" w14:textId="77777777" w:rsidR="005F05EB" w:rsidRPr="00ED4F57" w:rsidRDefault="00E70C01">
      <w:pPr>
        <w:ind w:left="0" w:right="0" w:firstLine="0"/>
        <w:rPr>
          <w:rFonts w:ascii="Arial" w:hAnsi="Arial" w:cs="Arial"/>
        </w:rPr>
      </w:pPr>
      <w:r w:rsidRPr="00ED4F57">
        <w:rPr>
          <w:rFonts w:ascii="Arial" w:hAnsi="Arial" w:cs="Arial"/>
        </w:rPr>
        <w:t xml:space="preserve">For these material or significant possible or actual unusual accounting transactions, the bureau’s evaluation is required to include consultation with a) the bureau’s CFO or equivalent, of both the underlying bureau and that bureau’s accounting service provider, if applicable, or his or her designee(s); and b) the Department’s Office of Financial </w:t>
      </w:r>
    </w:p>
    <w:p w14:paraId="75B588A3" w14:textId="77777777" w:rsidR="005F05EB" w:rsidRPr="00ED4F57" w:rsidRDefault="00E70C01">
      <w:pPr>
        <w:ind w:left="0" w:right="0" w:firstLine="0"/>
        <w:rPr>
          <w:rFonts w:ascii="Arial" w:hAnsi="Arial" w:cs="Arial"/>
        </w:rPr>
      </w:pPr>
      <w:r w:rsidRPr="00ED4F57">
        <w:rPr>
          <w:rFonts w:ascii="Arial" w:hAnsi="Arial" w:cs="Arial"/>
        </w:rPr>
        <w:t xml:space="preserve">Management.  As appropriate, consultations should also include c) other bureau or Departmental offices; d) the U.S. Department of the Treasury, the Office of </w:t>
      </w:r>
      <w:r w:rsidRPr="00ED4F57">
        <w:rPr>
          <w:rFonts w:ascii="Arial" w:hAnsi="Arial" w:cs="Arial"/>
        </w:rPr>
        <w:lastRenderedPageBreak/>
        <w:t xml:space="preserve">Management and Budget, and/or the Federal Accounting Standards Advisory Board; e) any other federal agencies; and f) any other relevant or applicable sources. </w:t>
      </w:r>
    </w:p>
    <w:p w14:paraId="5047D019" w14:textId="77777777" w:rsidR="005F05EB" w:rsidRPr="00ED4F57" w:rsidRDefault="00E70C01" w:rsidP="00ED4F57">
      <w:pPr>
        <w:pStyle w:val="Heading3"/>
        <w:tabs>
          <w:tab w:val="left" w:pos="924"/>
          <w:tab w:val="left" w:pos="927"/>
        </w:tabs>
        <w:spacing w:before="1"/>
        <w:ind w:left="0" w:right="769" w:firstLine="0"/>
      </w:pPr>
      <w:r w:rsidRPr="00ED4F57">
        <w:t xml:space="preserve"> </w:t>
      </w:r>
    </w:p>
    <w:sectPr w:rsidR="005F05EB" w:rsidRPr="00ED4F57">
      <w:headerReference w:type="even" r:id="rId48"/>
      <w:headerReference w:type="default" r:id="rId49"/>
      <w:headerReference w:type="first" r:id="rId50"/>
      <w:pgSz w:w="12240" w:h="15840"/>
      <w:pgMar w:top="1409" w:right="1803" w:bottom="1688" w:left="1800" w:header="69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C2522" w14:textId="77777777" w:rsidR="00E70C01" w:rsidRDefault="00E70C01">
      <w:pPr>
        <w:spacing w:line="240" w:lineRule="auto"/>
      </w:pPr>
      <w:r>
        <w:separator/>
      </w:r>
    </w:p>
  </w:endnote>
  <w:endnote w:type="continuationSeparator" w:id="0">
    <w:p w14:paraId="7D860EE2" w14:textId="77777777" w:rsidR="00E70C01" w:rsidRDefault="00E70C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8BEA7" w14:textId="77777777" w:rsidR="00E70C01" w:rsidRDefault="00E70C01">
      <w:pPr>
        <w:spacing w:line="240" w:lineRule="auto"/>
      </w:pPr>
      <w:r>
        <w:separator/>
      </w:r>
    </w:p>
  </w:footnote>
  <w:footnote w:type="continuationSeparator" w:id="0">
    <w:p w14:paraId="26219C99" w14:textId="77777777" w:rsidR="00E70C01" w:rsidRDefault="00E70C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80F35" w14:textId="77777777" w:rsidR="005F05EB" w:rsidRDefault="00E70C01">
    <w:pPr>
      <w:tabs>
        <w:tab w:val="center" w:pos="4321"/>
        <w:tab w:val="right" w:pos="8637"/>
      </w:tabs>
      <w:spacing w:line="259" w:lineRule="auto"/>
      <w:ind w:left="0" w:right="-4" w:firstLine="0"/>
    </w:pPr>
    <w:r>
      <w:rPr>
        <w:rFonts w:ascii="Calibri" w:eastAsia="Calibri" w:hAnsi="Calibri" w:cs="Calibri"/>
        <w:sz w:val="22"/>
      </w:rPr>
      <w:tab/>
    </w:r>
    <w:r>
      <w:rPr>
        <w:sz w:val="20"/>
      </w:rPr>
      <w:t>13-</w:t>
    </w:r>
    <w:r>
      <w:fldChar w:fldCharType="begin"/>
    </w:r>
    <w:r>
      <w:instrText xml:space="preserve"> PAGE   \* MERGEFORMAT </w:instrText>
    </w:r>
    <w:r>
      <w:fldChar w:fldCharType="separate"/>
    </w:r>
    <w:r>
      <w:rPr>
        <w:sz w:val="20"/>
      </w:rPr>
      <w:t>1</w:t>
    </w:r>
    <w:r>
      <w:rPr>
        <w:sz w:val="20"/>
      </w:rPr>
      <w:fldChar w:fldCharType="end"/>
    </w:r>
    <w:r>
      <w:rPr>
        <w:sz w:val="20"/>
      </w:rPr>
      <w:tab/>
      <w:t xml:space="preserve">Revised: </w:t>
    </w:r>
    <w:fldSimple w:instr=" NUMPAGES   \* MERGEFORMAT ">
      <w:r>
        <w:rPr>
          <w:sz w:val="20"/>
        </w:rPr>
        <w:t>6</w:t>
      </w:r>
    </w:fldSimple>
    <w:r>
      <w:rPr>
        <w:sz w:val="20"/>
      </w:rPr>
      <w:t xml:space="preserve">/2016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5802E" w14:textId="16D64FB6" w:rsidR="00D36FAB" w:rsidRPr="00CF3BAB" w:rsidRDefault="00D36FAB" w:rsidP="00D36FAB">
    <w:pPr>
      <w:tabs>
        <w:tab w:val="center" w:pos="4318"/>
        <w:tab w:val="right" w:pos="8638"/>
      </w:tabs>
      <w:spacing w:line="259" w:lineRule="auto"/>
      <w:ind w:left="0" w:right="-4" w:firstLine="0"/>
      <w:rPr>
        <w:rFonts w:ascii="Arial" w:eastAsia="Calibri" w:hAnsi="Arial" w:cs="Arial"/>
      </w:rPr>
    </w:pPr>
    <w:r w:rsidRPr="00CF3BAB">
      <w:rPr>
        <w:rFonts w:ascii="Arial" w:eastAsia="Calibri" w:hAnsi="Arial" w:cs="Arial"/>
      </w:rPr>
      <w:ptab w:relativeTo="margin" w:alignment="center" w:leader="none"/>
    </w:r>
    <w:r w:rsidRPr="00CF3BAB">
      <w:rPr>
        <w:rFonts w:ascii="Arial" w:eastAsia="Calibri" w:hAnsi="Arial" w:cs="Arial"/>
      </w:rPr>
      <w:t>Chapter 1</w:t>
    </w:r>
    <w:r>
      <w:rPr>
        <w:rFonts w:ascii="Arial" w:eastAsia="Calibri" w:hAnsi="Arial" w:cs="Arial"/>
      </w:rPr>
      <w:t>3</w:t>
    </w:r>
    <w:r w:rsidRPr="00CF3BAB">
      <w:rPr>
        <w:rFonts w:ascii="Arial" w:eastAsia="Calibri" w:hAnsi="Arial" w:cs="Arial"/>
      </w:rPr>
      <w:ptab w:relativeTo="margin" w:alignment="right" w:leader="none"/>
    </w:r>
    <w:r w:rsidRPr="00CF3BAB">
      <w:rPr>
        <w:rFonts w:ascii="Arial" w:eastAsia="Calibri" w:hAnsi="Arial" w:cs="Arial"/>
      </w:rPr>
      <w:t>Revised 06/2024</w:t>
    </w:r>
  </w:p>
  <w:p w14:paraId="5D9CBA88" w14:textId="15B31190" w:rsidR="005F05EB" w:rsidRPr="00D36FAB" w:rsidRDefault="005F05EB" w:rsidP="00D36F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62456" w14:textId="77777777" w:rsidR="005F05EB" w:rsidRDefault="00E70C01">
    <w:pPr>
      <w:tabs>
        <w:tab w:val="center" w:pos="4321"/>
        <w:tab w:val="right" w:pos="8637"/>
      </w:tabs>
      <w:spacing w:line="259" w:lineRule="auto"/>
      <w:ind w:left="0" w:right="-4" w:firstLine="0"/>
    </w:pPr>
    <w:r>
      <w:rPr>
        <w:rFonts w:ascii="Calibri" w:eastAsia="Calibri" w:hAnsi="Calibri" w:cs="Calibri"/>
        <w:sz w:val="22"/>
      </w:rPr>
      <w:tab/>
    </w:r>
    <w:r>
      <w:rPr>
        <w:sz w:val="20"/>
      </w:rPr>
      <w:t>13-</w:t>
    </w:r>
    <w:r>
      <w:fldChar w:fldCharType="begin"/>
    </w:r>
    <w:r>
      <w:instrText xml:space="preserve"> PAGE   \* MERGEFORMAT </w:instrText>
    </w:r>
    <w:r>
      <w:fldChar w:fldCharType="separate"/>
    </w:r>
    <w:r>
      <w:rPr>
        <w:sz w:val="20"/>
      </w:rPr>
      <w:t>1</w:t>
    </w:r>
    <w:r>
      <w:rPr>
        <w:sz w:val="20"/>
      </w:rPr>
      <w:fldChar w:fldCharType="end"/>
    </w:r>
    <w:r>
      <w:rPr>
        <w:sz w:val="20"/>
      </w:rPr>
      <w:tab/>
      <w:t xml:space="preserve">Revised: </w:t>
    </w:r>
    <w:fldSimple w:instr=" NUMPAGES   \* MERGEFORMAT ">
      <w:r>
        <w:rPr>
          <w:sz w:val="20"/>
        </w:rPr>
        <w:t>6</w:t>
      </w:r>
    </w:fldSimple>
    <w:r>
      <w:rPr>
        <w:sz w:val="20"/>
      </w:rPr>
      <w:t xml:space="preserve">/2016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B1E3C"/>
    <w:multiLevelType w:val="hybridMultilevel"/>
    <w:tmpl w:val="5C689B9A"/>
    <w:lvl w:ilvl="0" w:tplc="C94022D8">
      <w:start w:val="1"/>
      <w:numFmt w:val="lowerLetter"/>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481D4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9698E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8B45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E64C8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702E0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42760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56A4E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F496C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04C4241"/>
    <w:multiLevelType w:val="hybridMultilevel"/>
    <w:tmpl w:val="451A7FB2"/>
    <w:lvl w:ilvl="0" w:tplc="6BD42A92">
      <w:start w:val="1"/>
      <w:numFmt w:val="lowerLetter"/>
      <w:lvlText w:val="%1."/>
      <w:lvlJc w:val="left"/>
      <w:pPr>
        <w:ind w:left="106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430A4B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784F0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6A182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E0E2E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020B0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FE41B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6A5F3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720D6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4FB05E2"/>
    <w:multiLevelType w:val="hybridMultilevel"/>
    <w:tmpl w:val="93B04EA4"/>
    <w:lvl w:ilvl="0" w:tplc="47C6F2CC">
      <w:start w:val="1"/>
      <w:numFmt w:val="lowerLetter"/>
      <w:lvlText w:val="%1."/>
      <w:lvlJc w:val="left"/>
      <w:pPr>
        <w:ind w:left="106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D52C97C">
      <w:start w:val="1"/>
      <w:numFmt w:val="lowerLetter"/>
      <w:lvlText w:val="%2."/>
      <w:lvlJc w:val="left"/>
      <w:pPr>
        <w:ind w:left="180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CF3CEB4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22A26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D63BE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BA5CF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1C380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6493C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B0701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B497225"/>
    <w:multiLevelType w:val="hybridMultilevel"/>
    <w:tmpl w:val="F6744846"/>
    <w:lvl w:ilvl="0" w:tplc="F8A68EDA">
      <w:start w:val="1"/>
      <w:numFmt w:val="low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60622C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0A23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52F2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2655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168B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B0E7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DE9E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DC2A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588346893">
    <w:abstractNumId w:val="0"/>
  </w:num>
  <w:num w:numId="2" w16cid:durableId="1666320042">
    <w:abstractNumId w:val="1"/>
  </w:num>
  <w:num w:numId="3" w16cid:durableId="124200222">
    <w:abstractNumId w:val="2"/>
  </w:num>
  <w:num w:numId="4" w16cid:durableId="6410801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5EB"/>
    <w:rsid w:val="00095E89"/>
    <w:rsid w:val="005F05EB"/>
    <w:rsid w:val="00D36FAB"/>
    <w:rsid w:val="00E70C01"/>
    <w:rsid w:val="00ED4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3D562"/>
  <w15:docId w15:val="{06C436CD-B272-4237-A640-497F68D4B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370" w:right="1" w:hanging="370"/>
    </w:pPr>
    <w:rPr>
      <w:rFonts w:ascii="Times New Roman" w:eastAsia="Times New Roman" w:hAnsi="Times New Roman" w:cs="Times New Roman"/>
      <w:color w:val="000000"/>
    </w:rPr>
  </w:style>
  <w:style w:type="paragraph" w:styleId="Heading3">
    <w:name w:val="heading 3"/>
    <w:basedOn w:val="Normal"/>
    <w:link w:val="Heading3Char"/>
    <w:uiPriority w:val="9"/>
    <w:unhideWhenUsed/>
    <w:qFormat/>
    <w:rsid w:val="00ED4F57"/>
    <w:pPr>
      <w:widowControl w:val="0"/>
      <w:autoSpaceDE w:val="0"/>
      <w:autoSpaceDN w:val="0"/>
      <w:spacing w:line="240" w:lineRule="auto"/>
      <w:ind w:left="920" w:right="0" w:hanging="388"/>
      <w:outlineLvl w:val="2"/>
    </w:pPr>
    <w:rPr>
      <w:rFonts w:ascii="Arial" w:eastAsia="Arial" w:hAnsi="Arial" w:cs="Arial"/>
      <w:b/>
      <w:bCs/>
      <w:i/>
      <w:iCs/>
      <w:color w:val="auto"/>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itle">
    <w:name w:val="Title"/>
    <w:basedOn w:val="Normal"/>
    <w:link w:val="TitleChar"/>
    <w:uiPriority w:val="10"/>
    <w:qFormat/>
    <w:rsid w:val="00ED4F57"/>
    <w:pPr>
      <w:widowControl w:val="0"/>
      <w:autoSpaceDE w:val="0"/>
      <w:autoSpaceDN w:val="0"/>
      <w:spacing w:line="820" w:lineRule="exact"/>
      <w:ind w:left="1351" w:right="616" w:hanging="496"/>
    </w:pPr>
    <w:rPr>
      <w:rFonts w:ascii="Arial" w:eastAsia="Arial" w:hAnsi="Arial" w:cs="Arial"/>
      <w:b/>
      <w:bCs/>
      <w:color w:val="auto"/>
      <w:kern w:val="0"/>
      <w:sz w:val="36"/>
      <w:szCs w:val="36"/>
      <w14:ligatures w14:val="none"/>
    </w:rPr>
  </w:style>
  <w:style w:type="character" w:customStyle="1" w:styleId="TitleChar">
    <w:name w:val="Title Char"/>
    <w:basedOn w:val="DefaultParagraphFont"/>
    <w:link w:val="Title"/>
    <w:uiPriority w:val="10"/>
    <w:rsid w:val="00ED4F57"/>
    <w:rPr>
      <w:rFonts w:ascii="Arial" w:eastAsia="Arial" w:hAnsi="Arial" w:cs="Arial"/>
      <w:b/>
      <w:bCs/>
      <w:kern w:val="0"/>
      <w:sz w:val="36"/>
      <w:szCs w:val="36"/>
      <w14:ligatures w14:val="none"/>
    </w:rPr>
  </w:style>
  <w:style w:type="character" w:customStyle="1" w:styleId="Heading3Char">
    <w:name w:val="Heading 3 Char"/>
    <w:basedOn w:val="DefaultParagraphFont"/>
    <w:link w:val="Heading3"/>
    <w:uiPriority w:val="9"/>
    <w:rsid w:val="00ED4F57"/>
    <w:rPr>
      <w:rFonts w:ascii="Arial" w:eastAsia="Arial" w:hAnsi="Arial" w:cs="Arial"/>
      <w:b/>
      <w:bCs/>
      <w:i/>
      <w:iCs/>
      <w:kern w:val="0"/>
      <w:sz w:val="28"/>
      <w:szCs w:val="28"/>
      <w14:ligatures w14:val="none"/>
    </w:rPr>
  </w:style>
  <w:style w:type="paragraph" w:styleId="Footer">
    <w:name w:val="footer"/>
    <w:basedOn w:val="Normal"/>
    <w:link w:val="FooterChar"/>
    <w:uiPriority w:val="99"/>
    <w:unhideWhenUsed/>
    <w:rsid w:val="00D36FAB"/>
    <w:pPr>
      <w:tabs>
        <w:tab w:val="center" w:pos="4680"/>
        <w:tab w:val="right" w:pos="9360"/>
      </w:tabs>
      <w:spacing w:line="240" w:lineRule="auto"/>
    </w:pPr>
  </w:style>
  <w:style w:type="character" w:customStyle="1" w:styleId="FooterChar">
    <w:name w:val="Footer Char"/>
    <w:basedOn w:val="DefaultParagraphFont"/>
    <w:link w:val="Footer"/>
    <w:uiPriority w:val="99"/>
    <w:rsid w:val="00D36FAB"/>
    <w:rPr>
      <w:rFonts w:ascii="Times New Roman" w:eastAsia="Times New Roman" w:hAnsi="Times New Roman" w:cs="Times New Roman"/>
      <w:color w:val="000000"/>
    </w:rPr>
  </w:style>
  <w:style w:type="paragraph" w:styleId="Header">
    <w:name w:val="header"/>
    <w:basedOn w:val="Normal"/>
    <w:link w:val="HeaderChar"/>
    <w:uiPriority w:val="99"/>
    <w:semiHidden/>
    <w:unhideWhenUsed/>
    <w:rsid w:val="00D36FA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36FAB"/>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www.osec.doc.gov/opog/dmp/daos.html" TargetMode="External"/><Relationship Id="rId18" Type="http://schemas.openxmlformats.org/officeDocument/2006/relationships/hyperlink" Target="https://www.whitehouse.gov/omb/information-for-agencies/circulars/" TargetMode="External"/><Relationship Id="rId26" Type="http://schemas.openxmlformats.org/officeDocument/2006/relationships/hyperlink" Target="https://www.whitehouse.gov/omb/information-for-agencies/circulars/" TargetMode="External"/><Relationship Id="rId39" Type="http://schemas.openxmlformats.org/officeDocument/2006/relationships/hyperlink" Target="https://www.whitehouse.gov/omb/information-for-agencies/circulars/" TargetMode="External"/><Relationship Id="rId21" Type="http://schemas.openxmlformats.org/officeDocument/2006/relationships/hyperlink" Target="https://www.whitehouse.gov/omb/information-for-agencies/circulars/" TargetMode="External"/><Relationship Id="rId34" Type="http://schemas.openxmlformats.org/officeDocument/2006/relationships/hyperlink" Target="https://www.whitehouse.gov/omb/information-for-agencies/circulars/" TargetMode="External"/><Relationship Id="rId42" Type="http://schemas.openxmlformats.org/officeDocument/2006/relationships/hyperlink" Target="http://www.law.cornell.edu/uscode/html/uscode31/usc_sup_01_31_08_II_10_15_20_I.html" TargetMode="External"/><Relationship Id="rId47" Type="http://schemas.openxmlformats.org/officeDocument/2006/relationships/hyperlink" Target="http://www.osec.doc.gov/oam/" TargetMode="External"/><Relationship Id="rId50" Type="http://schemas.openxmlformats.org/officeDocument/2006/relationships/header" Target="head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gao.gov/new.items/d02248g.pdf" TargetMode="External"/><Relationship Id="rId29" Type="http://schemas.openxmlformats.org/officeDocument/2006/relationships/hyperlink" Target="https://www.whitehouse.gov/omb/information-for-agencies/circulars/" TargetMode="External"/><Relationship Id="rId11" Type="http://schemas.openxmlformats.org/officeDocument/2006/relationships/hyperlink" Target="http://www.osec.doc.gov/opog/dmp/daos.html" TargetMode="External"/><Relationship Id="rId24" Type="http://schemas.openxmlformats.org/officeDocument/2006/relationships/hyperlink" Target="https://www.whitehouse.gov/omb/information-for-agencies/circulars/" TargetMode="External"/><Relationship Id="rId32" Type="http://schemas.openxmlformats.org/officeDocument/2006/relationships/hyperlink" Target="https://www.whitehouse.gov/omb/information-for-agencies/circulars/" TargetMode="External"/><Relationship Id="rId37" Type="http://schemas.openxmlformats.org/officeDocument/2006/relationships/hyperlink" Target="https://www.whitehouse.gov/omb/information-for-agencies/circulars/" TargetMode="External"/><Relationship Id="rId40" Type="http://schemas.openxmlformats.org/officeDocument/2006/relationships/hyperlink" Target="https://www.whitehouse.gov/omb/information-for-agencies/circulars/" TargetMode="External"/><Relationship Id="rId45" Type="http://schemas.openxmlformats.org/officeDocument/2006/relationships/hyperlink" Target="http://www.osec.doc.gov/oam/" TargetMode="External"/><Relationship Id="rId5" Type="http://schemas.openxmlformats.org/officeDocument/2006/relationships/footnotes" Target="footnotes.xml"/><Relationship Id="rId15" Type="http://schemas.openxmlformats.org/officeDocument/2006/relationships/hyperlink" Target="http://www.gao.gov/new.items/d02248g.pdf" TargetMode="External"/><Relationship Id="rId23" Type="http://schemas.openxmlformats.org/officeDocument/2006/relationships/hyperlink" Target="https://www.whitehouse.gov/omb/information-for-agencies/circulars/" TargetMode="External"/><Relationship Id="rId28" Type="http://schemas.openxmlformats.org/officeDocument/2006/relationships/hyperlink" Target="https://www.whitehouse.gov/omb/information-for-agencies/circulars/" TargetMode="External"/><Relationship Id="rId36" Type="http://schemas.openxmlformats.org/officeDocument/2006/relationships/hyperlink" Target="https://www.whitehouse.gov/omb/information-for-agencies/circulars/" TargetMode="External"/><Relationship Id="rId49" Type="http://schemas.openxmlformats.org/officeDocument/2006/relationships/header" Target="header2.xml"/><Relationship Id="rId10" Type="http://schemas.openxmlformats.org/officeDocument/2006/relationships/hyperlink" Target="http://www.osec.doc.gov/opog/dmp/daos.html" TargetMode="External"/><Relationship Id="rId19" Type="http://schemas.openxmlformats.org/officeDocument/2006/relationships/hyperlink" Target="https://www.whitehouse.gov/omb/information-for-agencies/circulars/" TargetMode="External"/><Relationship Id="rId31" Type="http://schemas.openxmlformats.org/officeDocument/2006/relationships/hyperlink" Target="https://www.whitehouse.gov/omb/information-for-agencies/circulars/" TargetMode="External"/><Relationship Id="rId44" Type="http://schemas.openxmlformats.org/officeDocument/2006/relationships/hyperlink" Target="http://www.osec.doc.gov/oam/"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cfr.gov/cgi-bin/text-idx?SID=6fedfa3174113f753f4774bf5afee11c&amp;mc=true&amp;tpl=/ecfrbrowse/Title02/2tab_02.tpl" TargetMode="External"/><Relationship Id="rId14" Type="http://schemas.openxmlformats.org/officeDocument/2006/relationships/hyperlink" Target="http://www.gao.gov/new.items/d02248g.pdf" TargetMode="External"/><Relationship Id="rId22" Type="http://schemas.openxmlformats.org/officeDocument/2006/relationships/hyperlink" Target="https://www.whitehouse.gov/omb/information-for-agencies/circulars/" TargetMode="External"/><Relationship Id="rId27" Type="http://schemas.openxmlformats.org/officeDocument/2006/relationships/hyperlink" Target="https://www.whitehouse.gov/omb/information-for-agencies/circulars/" TargetMode="External"/><Relationship Id="rId30" Type="http://schemas.openxmlformats.org/officeDocument/2006/relationships/hyperlink" Target="https://www.whitehouse.gov/omb/information-for-agencies/circulars/" TargetMode="External"/><Relationship Id="rId35" Type="http://schemas.openxmlformats.org/officeDocument/2006/relationships/hyperlink" Target="https://www.whitehouse.gov/omb/information-for-agencies/circulars/" TargetMode="External"/><Relationship Id="rId43" Type="http://schemas.openxmlformats.org/officeDocument/2006/relationships/hyperlink" Target="http://www.law.cornell.edu/uscode/html/uscode31/usc_sup_01_31_08_II_10_15_20_I.html" TargetMode="External"/><Relationship Id="rId48" Type="http://schemas.openxmlformats.org/officeDocument/2006/relationships/header" Target="header1.xml"/><Relationship Id="rId8" Type="http://schemas.openxmlformats.org/officeDocument/2006/relationships/hyperlink" Target="https://www.ecfr.gov/cgi-bin/text-idx?SID=6fedfa3174113f753f4774bf5afee11c&amp;mc=true&amp;tpl=/ecfrbrowse/Title02/2tab_02.tpl"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osec.doc.gov/opog/dmp/daos.html" TargetMode="External"/><Relationship Id="rId17" Type="http://schemas.openxmlformats.org/officeDocument/2006/relationships/hyperlink" Target="http://www.gao.gov/new.items/d02248g.pdf" TargetMode="External"/><Relationship Id="rId25" Type="http://schemas.openxmlformats.org/officeDocument/2006/relationships/hyperlink" Target="https://www.whitehouse.gov/omb/information-for-agencies/circulars/" TargetMode="External"/><Relationship Id="rId33" Type="http://schemas.openxmlformats.org/officeDocument/2006/relationships/hyperlink" Target="https://www.whitehouse.gov/omb/information-for-agencies/circulars/" TargetMode="External"/><Relationship Id="rId38" Type="http://schemas.openxmlformats.org/officeDocument/2006/relationships/hyperlink" Target="https://www.whitehouse.gov/omb/information-for-agencies/circulars/" TargetMode="External"/><Relationship Id="rId46" Type="http://schemas.openxmlformats.org/officeDocument/2006/relationships/hyperlink" Target="http://www.osec.doc.gov/oam/" TargetMode="External"/><Relationship Id="rId20" Type="http://schemas.openxmlformats.org/officeDocument/2006/relationships/hyperlink" Target="https://www.whitehouse.gov/omb/information-for-agencies/circulars/" TargetMode="External"/><Relationship Id="rId41" Type="http://schemas.openxmlformats.org/officeDocument/2006/relationships/hyperlink" Target="https://www.whitehouse.gov/omb/information-for-agencies/circulars/"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1920</Words>
  <Characters>10945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11-1 Revised TM A-02 (4/00)</vt:lpstr>
    </vt:vector>
  </TitlesOfParts>
  <Company>U.S. Department of Commerce</Company>
  <LinksUpToDate>false</LinksUpToDate>
  <CharactersWithSpaces>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 Revised TM A-02 (4/00)</dc:title>
  <dc:subject/>
  <dc:creator>CMoore</dc:creator>
  <cp:keywords/>
  <cp:lastModifiedBy>Finn, Sean (Intern)</cp:lastModifiedBy>
  <cp:revision>3</cp:revision>
  <dcterms:created xsi:type="dcterms:W3CDTF">2024-06-17T13:33:00Z</dcterms:created>
  <dcterms:modified xsi:type="dcterms:W3CDTF">2024-06-17T14:44:00Z</dcterms:modified>
</cp:coreProperties>
</file>