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8AB11" w14:textId="77777777" w:rsidR="00F733DC" w:rsidRDefault="00F733DC" w:rsidP="00F733DC">
      <w:pPr>
        <w:pStyle w:val="Title"/>
        <w:tabs>
          <w:tab w:val="left" w:pos="855"/>
        </w:tabs>
        <w:ind w:left="0" w:right="-2" w:firstLine="0"/>
      </w:pPr>
      <w:r>
        <w:rPr>
          <w:noProof/>
        </w:rPr>
        <w:drawing>
          <wp:anchor distT="0" distB="0" distL="114300" distR="114300" simplePos="0" relativeHeight="251659264" behindDoc="0" locked="0" layoutInCell="1" allowOverlap="1" wp14:anchorId="00B8EBBD" wp14:editId="513865CF">
            <wp:simplePos x="0" y="0"/>
            <wp:positionH relativeFrom="margin">
              <wp:align>center</wp:align>
            </wp:positionH>
            <wp:positionV relativeFrom="paragraph">
              <wp:posOffset>-635</wp:posOffset>
            </wp:positionV>
            <wp:extent cx="886968" cy="886968"/>
            <wp:effectExtent l="0" t="0" r="8890" b="8890"/>
            <wp:wrapNone/>
            <wp:docPr id="470181787" name="Picture 3" descr="Department of Commerce logo | United States Department of Co… | Fli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partment of Commerce logo | United States Department of Co… | Flick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6968" cy="88696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D76F70" w14:textId="77777777" w:rsidR="00F733DC" w:rsidRDefault="00F733DC" w:rsidP="00F733DC">
      <w:pPr>
        <w:pStyle w:val="Title"/>
        <w:tabs>
          <w:tab w:val="left" w:pos="855"/>
        </w:tabs>
        <w:ind w:left="0" w:right="-2" w:firstLine="0"/>
      </w:pPr>
    </w:p>
    <w:p w14:paraId="24DAE15F" w14:textId="77777777" w:rsidR="00F733DC" w:rsidRDefault="00F733DC" w:rsidP="00F733DC">
      <w:pPr>
        <w:pStyle w:val="Title"/>
        <w:tabs>
          <w:tab w:val="left" w:pos="855"/>
        </w:tabs>
        <w:ind w:left="0" w:right="-2" w:firstLine="0"/>
        <w:jc w:val="center"/>
      </w:pPr>
      <w:r>
        <w:t>Accounting Principles and Standards Handbook</w:t>
      </w:r>
    </w:p>
    <w:p w14:paraId="7C04D080" w14:textId="2D5CEC38" w:rsidR="00F733DC" w:rsidRDefault="00F733DC" w:rsidP="00F733DC">
      <w:pPr>
        <w:pStyle w:val="Title"/>
        <w:tabs>
          <w:tab w:val="left" w:pos="855"/>
        </w:tabs>
        <w:ind w:left="0" w:right="-2" w:firstLine="0"/>
        <w:jc w:val="center"/>
      </w:pPr>
      <w:r>
        <w:t>Chapter 1</w:t>
      </w:r>
      <w:r>
        <w:t>0</w:t>
      </w:r>
      <w:r>
        <w:t xml:space="preserve">: </w:t>
      </w:r>
      <w:r>
        <w:t>Net Position</w:t>
      </w:r>
    </w:p>
    <w:p w14:paraId="5FBFBA48" w14:textId="77777777" w:rsidR="00F733DC" w:rsidRDefault="00F733DC" w:rsidP="00F733DC">
      <w:pPr>
        <w:spacing w:before="285"/>
        <w:ind w:left="0" w:right="-2" w:firstLine="0"/>
        <w:jc w:val="center"/>
        <w:rPr>
          <w:b/>
          <w:spacing w:val="-2"/>
          <w:u w:val="thick"/>
        </w:rPr>
      </w:pPr>
      <w:r>
        <w:rPr>
          <w:b/>
          <w:u w:val="thick"/>
        </w:rPr>
        <w:t>Table</w:t>
      </w:r>
      <w:r>
        <w:rPr>
          <w:b/>
          <w:spacing w:val="-5"/>
          <w:u w:val="thick"/>
        </w:rPr>
        <w:t xml:space="preserve"> </w:t>
      </w:r>
      <w:r>
        <w:rPr>
          <w:b/>
          <w:u w:val="thick"/>
        </w:rPr>
        <w:t>of</w:t>
      </w:r>
      <w:r>
        <w:rPr>
          <w:b/>
          <w:spacing w:val="-6"/>
          <w:u w:val="thick"/>
        </w:rPr>
        <w:t xml:space="preserve"> </w:t>
      </w:r>
      <w:r>
        <w:rPr>
          <w:b/>
          <w:spacing w:val="-2"/>
          <w:u w:val="thick"/>
        </w:rPr>
        <w:t>Contents</w:t>
      </w:r>
    </w:p>
    <w:p w14:paraId="595A38B1" w14:textId="6FCF4305" w:rsidR="00F733DC" w:rsidRPr="00CF3BAB" w:rsidRDefault="00F733DC" w:rsidP="00F733DC">
      <w:pPr>
        <w:spacing w:before="240"/>
        <w:ind w:left="0" w:right="-2" w:firstLine="0"/>
        <w:rPr>
          <w:b/>
          <w:spacing w:val="-2"/>
          <w:u w:val="thick"/>
        </w:rPr>
      </w:pPr>
      <w:r w:rsidRPr="00F6358B">
        <w:rPr>
          <w:rFonts w:ascii="Arial" w:hAnsi="Arial" w:cs="Arial"/>
        </w:rPr>
        <w:t>Chapter 1</w:t>
      </w:r>
      <w:r>
        <w:rPr>
          <w:rFonts w:ascii="Arial" w:hAnsi="Arial" w:cs="Arial"/>
        </w:rPr>
        <w:t>0</w:t>
      </w:r>
      <w:r w:rsidRPr="00F6358B">
        <w:rPr>
          <w:rFonts w:ascii="Arial" w:hAnsi="Arial" w:cs="Arial"/>
        </w:rPr>
        <w:t xml:space="preserve">: </w:t>
      </w:r>
      <w:r>
        <w:rPr>
          <w:rFonts w:ascii="Arial" w:hAnsi="Arial" w:cs="Arial"/>
        </w:rPr>
        <w:t>Net Position</w:t>
      </w:r>
    </w:p>
    <w:p w14:paraId="705854CB" w14:textId="7712AEBB" w:rsidR="00F733DC" w:rsidRDefault="00F733DC" w:rsidP="00F733DC">
      <w:pPr>
        <w:spacing w:before="240" w:after="160" w:line="240" w:lineRule="auto"/>
        <w:ind w:left="360" w:firstLine="0"/>
        <w:rPr>
          <w:rFonts w:ascii="Arial" w:hAnsi="Arial" w:cs="Arial"/>
        </w:rPr>
      </w:pPr>
      <w:r>
        <w:rPr>
          <w:rFonts w:ascii="Arial" w:hAnsi="Arial" w:cs="Arial"/>
        </w:rPr>
        <w:t xml:space="preserve">Section 1: </w:t>
      </w:r>
      <w:r>
        <w:rPr>
          <w:rFonts w:ascii="Arial" w:hAnsi="Arial" w:cs="Arial"/>
        </w:rPr>
        <w:t>General</w:t>
      </w:r>
    </w:p>
    <w:p w14:paraId="25EA6B55" w14:textId="1398271A" w:rsidR="00F733DC" w:rsidRDefault="00F733DC" w:rsidP="00F733DC">
      <w:pPr>
        <w:spacing w:before="240" w:after="160" w:line="240" w:lineRule="auto"/>
        <w:ind w:left="360" w:firstLine="0"/>
        <w:rPr>
          <w:rFonts w:ascii="Arial" w:hAnsi="Arial" w:cs="Arial"/>
        </w:rPr>
      </w:pPr>
      <w:r>
        <w:rPr>
          <w:rFonts w:ascii="Arial" w:hAnsi="Arial" w:cs="Arial"/>
        </w:rPr>
        <w:t>Section 2: Authority</w:t>
      </w:r>
    </w:p>
    <w:p w14:paraId="367C2CBE" w14:textId="236EE7A8" w:rsidR="00F733DC" w:rsidRDefault="00F733DC" w:rsidP="00F733DC">
      <w:pPr>
        <w:spacing w:before="240" w:after="160" w:line="240" w:lineRule="auto"/>
        <w:ind w:left="360" w:firstLine="0"/>
        <w:rPr>
          <w:rFonts w:ascii="Arial" w:hAnsi="Arial" w:cs="Arial"/>
        </w:rPr>
      </w:pPr>
      <w:r>
        <w:rPr>
          <w:rFonts w:ascii="Arial" w:hAnsi="Arial" w:cs="Arial"/>
        </w:rPr>
        <w:t xml:space="preserve">Section 3: </w:t>
      </w:r>
      <w:r w:rsidRPr="00F733DC">
        <w:rPr>
          <w:rFonts w:ascii="Arial" w:hAnsi="Arial" w:cs="Arial"/>
        </w:rPr>
        <w:t xml:space="preserve">Cumulative Results of Operations </w:t>
      </w:r>
    </w:p>
    <w:p w14:paraId="26840093" w14:textId="1CC2882A" w:rsidR="00F733DC" w:rsidRPr="00F733DC" w:rsidRDefault="00F733DC" w:rsidP="00F733DC">
      <w:pPr>
        <w:spacing w:before="240" w:after="160" w:line="240" w:lineRule="auto"/>
        <w:ind w:left="360" w:firstLine="0"/>
        <w:rPr>
          <w:rFonts w:ascii="Arial" w:hAnsi="Arial" w:cs="Arial"/>
        </w:rPr>
      </w:pPr>
      <w:r>
        <w:rPr>
          <w:rFonts w:ascii="Arial" w:hAnsi="Arial" w:cs="Arial"/>
        </w:rPr>
        <w:t xml:space="preserve">Section 4: </w:t>
      </w:r>
      <w:r w:rsidRPr="00F733DC">
        <w:rPr>
          <w:rFonts w:ascii="Arial" w:hAnsi="Arial" w:cs="Arial"/>
        </w:rPr>
        <w:t>Unexpended Appropriations</w:t>
      </w:r>
    </w:p>
    <w:p w14:paraId="70970D0F" w14:textId="5478CE75" w:rsidR="00F733DC" w:rsidRPr="006C0415" w:rsidRDefault="00F733DC" w:rsidP="00F733DC">
      <w:pPr>
        <w:spacing w:before="240" w:after="160" w:line="240" w:lineRule="auto"/>
        <w:ind w:left="360" w:firstLine="0"/>
        <w:rPr>
          <w:rFonts w:ascii="Arial" w:hAnsi="Arial" w:cs="Arial"/>
        </w:rPr>
      </w:pPr>
      <w:r w:rsidRPr="00F733DC">
        <w:rPr>
          <w:rFonts w:ascii="Arial" w:hAnsi="Arial" w:cs="Arial"/>
        </w:rPr>
        <w:t xml:space="preserve">Section 5: </w:t>
      </w:r>
      <w:r w:rsidRPr="00F733DC">
        <w:rPr>
          <w:rFonts w:ascii="Arial" w:hAnsi="Arial" w:cs="Arial"/>
        </w:rPr>
        <w:t>Bureau Evaluations of Material or Significant Possible or Actual Unusual Accounting Transactions</w:t>
      </w:r>
    </w:p>
    <w:p w14:paraId="07B9DF51" w14:textId="77777777" w:rsidR="00F733DC" w:rsidRPr="00F733DC" w:rsidRDefault="00F733DC" w:rsidP="00F733DC">
      <w:pPr>
        <w:spacing w:before="240" w:after="160" w:line="240" w:lineRule="auto"/>
        <w:ind w:left="360" w:firstLine="0"/>
        <w:rPr>
          <w:rFonts w:ascii="Arial" w:hAnsi="Arial" w:cs="Arial"/>
        </w:rPr>
      </w:pPr>
      <w:r w:rsidRPr="00F733DC">
        <w:rPr>
          <w:rFonts w:ascii="Arial" w:hAnsi="Arial" w:cs="Arial"/>
        </w:rPr>
        <w:br w:type="page"/>
      </w:r>
    </w:p>
    <w:p w14:paraId="203C62DD" w14:textId="1958FF28" w:rsidR="00AD0581" w:rsidRPr="00F733DC" w:rsidRDefault="00D711F3" w:rsidP="00F733DC">
      <w:pPr>
        <w:pStyle w:val="Heading3"/>
        <w:tabs>
          <w:tab w:val="left" w:pos="924"/>
          <w:tab w:val="left" w:pos="927"/>
        </w:tabs>
        <w:spacing w:before="1"/>
        <w:ind w:left="0" w:right="769" w:firstLine="0"/>
      </w:pPr>
      <w:r w:rsidRPr="00F733DC">
        <w:lastRenderedPageBreak/>
        <w:t xml:space="preserve">Section 1.0 </w:t>
      </w:r>
      <w:r w:rsidR="00F733DC">
        <w:t xml:space="preserve">- </w:t>
      </w:r>
      <w:r w:rsidRPr="00F733DC">
        <w:t>General</w:t>
      </w:r>
      <w:r w:rsidRPr="00F733DC">
        <w:t xml:space="preserve"> </w:t>
      </w:r>
    </w:p>
    <w:p w14:paraId="4C6C48EC" w14:textId="40506169" w:rsidR="00AD0581" w:rsidRPr="00F733DC" w:rsidRDefault="00D711F3" w:rsidP="00F733DC">
      <w:pPr>
        <w:pStyle w:val="Heading3"/>
        <w:tabs>
          <w:tab w:val="left" w:pos="924"/>
          <w:tab w:val="left" w:pos="927"/>
        </w:tabs>
        <w:spacing w:before="1"/>
        <w:ind w:left="0" w:right="769" w:firstLine="0"/>
      </w:pPr>
      <w:r w:rsidRPr="00F733DC">
        <w:t xml:space="preserve"> </w:t>
      </w:r>
    </w:p>
    <w:p w14:paraId="71365C6C" w14:textId="77777777" w:rsidR="00AD0581" w:rsidRPr="00F733DC" w:rsidRDefault="00D711F3">
      <w:pPr>
        <w:ind w:left="10"/>
        <w:rPr>
          <w:rFonts w:ascii="Arial" w:hAnsi="Arial" w:cs="Arial"/>
        </w:rPr>
      </w:pPr>
      <w:r w:rsidRPr="00F733DC">
        <w:rPr>
          <w:rFonts w:ascii="Arial" w:hAnsi="Arial" w:cs="Arial"/>
        </w:rPr>
        <w:t xml:space="preserve">Net Position of the U.S. Government is the residual difference between assets and liabilities of a Federal agency.  This standard is based on accrual accounting concepts incorporating the expended/unexpended budget authority principle.  It is intended to account for unexpended and applicable expended budget authority.  Net </w:t>
      </w:r>
      <w:proofErr w:type="spellStart"/>
      <w:r w:rsidRPr="00F733DC">
        <w:rPr>
          <w:rFonts w:ascii="Arial" w:hAnsi="Arial" w:cs="Arial"/>
        </w:rPr>
        <w:t>Positon</w:t>
      </w:r>
      <w:proofErr w:type="spellEnd"/>
      <w:r w:rsidRPr="00F733DC">
        <w:rPr>
          <w:rFonts w:ascii="Arial" w:hAnsi="Arial" w:cs="Arial"/>
        </w:rPr>
        <w:t xml:space="preserve"> of the U.S. Government is generally composed of the following:  </w:t>
      </w:r>
    </w:p>
    <w:p w14:paraId="4D84A181" w14:textId="77777777" w:rsidR="00AD0581" w:rsidRPr="00F733DC" w:rsidRDefault="00D711F3">
      <w:pPr>
        <w:spacing w:line="259" w:lineRule="auto"/>
        <w:ind w:left="0" w:firstLine="0"/>
        <w:rPr>
          <w:rFonts w:ascii="Arial" w:hAnsi="Arial" w:cs="Arial"/>
        </w:rPr>
      </w:pPr>
      <w:r w:rsidRPr="00F733DC">
        <w:rPr>
          <w:rFonts w:ascii="Arial" w:hAnsi="Arial" w:cs="Arial"/>
        </w:rPr>
        <w:t xml:space="preserve"> </w:t>
      </w:r>
    </w:p>
    <w:p w14:paraId="7434BEE2" w14:textId="77777777" w:rsidR="00AD0581" w:rsidRPr="00F733DC" w:rsidRDefault="00D711F3">
      <w:pPr>
        <w:numPr>
          <w:ilvl w:val="0"/>
          <w:numId w:val="1"/>
        </w:numPr>
        <w:ind w:hanging="360"/>
        <w:rPr>
          <w:rFonts w:ascii="Arial" w:hAnsi="Arial" w:cs="Arial"/>
        </w:rPr>
      </w:pPr>
      <w:r w:rsidRPr="00F733DC">
        <w:rPr>
          <w:rFonts w:ascii="Arial" w:hAnsi="Arial" w:cs="Arial"/>
        </w:rPr>
        <w:t xml:space="preserve">Cumulative results of operations; </w:t>
      </w:r>
    </w:p>
    <w:p w14:paraId="268BC8F5" w14:textId="77777777" w:rsidR="00AD0581" w:rsidRPr="00F733DC" w:rsidRDefault="00D711F3">
      <w:pPr>
        <w:numPr>
          <w:ilvl w:val="0"/>
          <w:numId w:val="1"/>
        </w:numPr>
        <w:ind w:hanging="360"/>
        <w:rPr>
          <w:rFonts w:ascii="Arial" w:hAnsi="Arial" w:cs="Arial"/>
        </w:rPr>
      </w:pPr>
      <w:r w:rsidRPr="00F733DC">
        <w:rPr>
          <w:rFonts w:ascii="Arial" w:hAnsi="Arial" w:cs="Arial"/>
        </w:rPr>
        <w:t xml:space="preserve">Unexpended appropriations; </w:t>
      </w:r>
    </w:p>
    <w:p w14:paraId="5BA9255C" w14:textId="77777777" w:rsidR="00AD0581" w:rsidRPr="00F733DC" w:rsidRDefault="00D711F3">
      <w:pPr>
        <w:spacing w:line="259" w:lineRule="auto"/>
        <w:ind w:left="0" w:firstLine="0"/>
        <w:rPr>
          <w:rFonts w:ascii="Arial" w:hAnsi="Arial" w:cs="Arial"/>
        </w:rPr>
      </w:pPr>
      <w:r w:rsidRPr="00F733DC">
        <w:rPr>
          <w:rFonts w:ascii="Arial" w:hAnsi="Arial" w:cs="Arial"/>
        </w:rPr>
        <w:t xml:space="preserve"> </w:t>
      </w:r>
    </w:p>
    <w:p w14:paraId="030B29C5" w14:textId="7591E452" w:rsidR="00AD0581" w:rsidRPr="00F733DC" w:rsidRDefault="00D711F3" w:rsidP="00F733DC">
      <w:pPr>
        <w:pStyle w:val="Heading3"/>
        <w:tabs>
          <w:tab w:val="left" w:pos="924"/>
          <w:tab w:val="left" w:pos="927"/>
        </w:tabs>
        <w:spacing w:before="1"/>
        <w:ind w:left="0" w:right="769" w:firstLine="0"/>
      </w:pPr>
      <w:r w:rsidRPr="00F733DC">
        <w:t xml:space="preserve">Section 2.0 </w:t>
      </w:r>
      <w:r>
        <w:t xml:space="preserve">- </w:t>
      </w:r>
      <w:r w:rsidRPr="00F733DC">
        <w:t>Authority</w:t>
      </w:r>
      <w:r w:rsidRPr="00F733DC">
        <w:t xml:space="preserve"> </w:t>
      </w:r>
    </w:p>
    <w:p w14:paraId="5E4E1AE5" w14:textId="77777777" w:rsidR="00AD0581" w:rsidRPr="00F733DC" w:rsidRDefault="00D711F3">
      <w:pPr>
        <w:spacing w:line="259" w:lineRule="auto"/>
        <w:ind w:left="0" w:firstLine="0"/>
        <w:rPr>
          <w:rFonts w:ascii="Arial" w:hAnsi="Arial" w:cs="Arial"/>
        </w:rPr>
      </w:pPr>
      <w:r w:rsidRPr="00F733DC">
        <w:rPr>
          <w:rFonts w:ascii="Arial" w:hAnsi="Arial" w:cs="Arial"/>
        </w:rPr>
        <w:t xml:space="preserve"> </w:t>
      </w:r>
    </w:p>
    <w:p w14:paraId="756AA319" w14:textId="77777777" w:rsidR="00AD0581" w:rsidRPr="00F733DC" w:rsidRDefault="00D711F3">
      <w:pPr>
        <w:ind w:left="10"/>
        <w:rPr>
          <w:rFonts w:ascii="Arial" w:hAnsi="Arial" w:cs="Arial"/>
        </w:rPr>
      </w:pPr>
      <w:r w:rsidRPr="00F733DC">
        <w:rPr>
          <w:rFonts w:ascii="Arial" w:hAnsi="Arial" w:cs="Arial"/>
        </w:rPr>
        <w:t xml:space="preserve">The policies and procedures in this chapter are issued pursuant to the following: </w:t>
      </w:r>
    </w:p>
    <w:p w14:paraId="16FFFA1C" w14:textId="77777777" w:rsidR="00AD0581" w:rsidRPr="00F733DC" w:rsidRDefault="00D711F3">
      <w:pPr>
        <w:spacing w:line="259" w:lineRule="auto"/>
        <w:ind w:left="0" w:firstLine="0"/>
        <w:rPr>
          <w:rFonts w:ascii="Arial" w:hAnsi="Arial" w:cs="Arial"/>
        </w:rPr>
      </w:pPr>
      <w:r w:rsidRPr="00F733DC">
        <w:rPr>
          <w:rFonts w:ascii="Arial" w:hAnsi="Arial" w:cs="Arial"/>
        </w:rPr>
        <w:t xml:space="preserve"> </w:t>
      </w:r>
    </w:p>
    <w:p w14:paraId="752AB9BE" w14:textId="77777777" w:rsidR="00AD0581" w:rsidRPr="00F733DC" w:rsidRDefault="00D711F3">
      <w:pPr>
        <w:numPr>
          <w:ilvl w:val="0"/>
          <w:numId w:val="2"/>
        </w:numPr>
        <w:ind w:hanging="360"/>
        <w:rPr>
          <w:rFonts w:ascii="Arial" w:hAnsi="Arial" w:cs="Arial"/>
        </w:rPr>
      </w:pPr>
      <w:hyperlink r:id="rId8">
        <w:r w:rsidRPr="00F733DC">
          <w:rPr>
            <w:rFonts w:ascii="Arial" w:hAnsi="Arial" w:cs="Arial"/>
            <w:color w:val="0000FF"/>
            <w:u w:val="single" w:color="0000FF"/>
          </w:rPr>
          <w:t>Section 114 of the Budget and Accounting Procedures Act of 1950 (31 U.S.C.</w:t>
        </w:r>
      </w:hyperlink>
      <w:hyperlink r:id="rId9">
        <w:r w:rsidRPr="00F733DC">
          <w:rPr>
            <w:rFonts w:ascii="Arial" w:hAnsi="Arial" w:cs="Arial"/>
            <w:color w:val="0000FF"/>
          </w:rPr>
          <w:t xml:space="preserve"> </w:t>
        </w:r>
      </w:hyperlink>
      <w:hyperlink r:id="rId10">
        <w:r w:rsidRPr="00F733DC">
          <w:rPr>
            <w:rFonts w:ascii="Arial" w:hAnsi="Arial" w:cs="Arial"/>
            <w:color w:val="0000FF"/>
            <w:u w:val="single" w:color="0000FF"/>
          </w:rPr>
          <w:t>Sec. 3513 (a))</w:t>
        </w:r>
      </w:hyperlink>
      <w:hyperlink r:id="rId11">
        <w:r w:rsidRPr="00F733DC">
          <w:rPr>
            <w:rFonts w:ascii="Arial" w:hAnsi="Arial" w:cs="Arial"/>
          </w:rPr>
          <w:t>;</w:t>
        </w:r>
      </w:hyperlink>
      <w:r w:rsidRPr="00F733DC">
        <w:rPr>
          <w:rFonts w:ascii="Arial" w:hAnsi="Arial" w:cs="Arial"/>
        </w:rPr>
        <w:t xml:space="preserve"> </w:t>
      </w:r>
    </w:p>
    <w:p w14:paraId="0324A95C" w14:textId="77777777" w:rsidR="00AD0581" w:rsidRPr="00F733DC" w:rsidRDefault="00D711F3">
      <w:pPr>
        <w:spacing w:line="259" w:lineRule="auto"/>
        <w:ind w:left="720" w:firstLine="0"/>
        <w:rPr>
          <w:rFonts w:ascii="Arial" w:hAnsi="Arial" w:cs="Arial"/>
        </w:rPr>
      </w:pPr>
      <w:r w:rsidRPr="00F733DC">
        <w:rPr>
          <w:rFonts w:ascii="Arial" w:hAnsi="Arial" w:cs="Arial"/>
        </w:rPr>
        <w:t xml:space="preserve"> </w:t>
      </w:r>
    </w:p>
    <w:p w14:paraId="3081E14D" w14:textId="77777777" w:rsidR="00AD0581" w:rsidRPr="00F733DC" w:rsidRDefault="00D711F3">
      <w:pPr>
        <w:numPr>
          <w:ilvl w:val="0"/>
          <w:numId w:val="2"/>
        </w:numPr>
        <w:ind w:hanging="360"/>
        <w:rPr>
          <w:rFonts w:ascii="Arial" w:hAnsi="Arial" w:cs="Arial"/>
        </w:rPr>
      </w:pPr>
      <w:r w:rsidRPr="00F733DC">
        <w:rPr>
          <w:rFonts w:ascii="Arial" w:hAnsi="Arial" w:cs="Arial"/>
        </w:rPr>
        <w:t xml:space="preserve">Generally Accepted Accounting Principles authorities, as set forth in Chapter 8 (Assets) and Chapter 9 (Liabilities) of the Accounting Principles and Standards Handbook, “Authority” sections. </w:t>
      </w:r>
    </w:p>
    <w:p w14:paraId="01AD0745" w14:textId="77777777" w:rsidR="00AD0581" w:rsidRPr="00F733DC" w:rsidRDefault="00D711F3">
      <w:pPr>
        <w:spacing w:line="259" w:lineRule="auto"/>
        <w:ind w:left="720" w:firstLine="0"/>
        <w:rPr>
          <w:rFonts w:ascii="Arial" w:hAnsi="Arial" w:cs="Arial"/>
        </w:rPr>
      </w:pPr>
      <w:r w:rsidRPr="00F733DC">
        <w:rPr>
          <w:rFonts w:ascii="Arial" w:hAnsi="Arial" w:cs="Arial"/>
        </w:rPr>
        <w:t xml:space="preserve"> </w:t>
      </w:r>
    </w:p>
    <w:p w14:paraId="65FC8056" w14:textId="77777777" w:rsidR="00AD0581" w:rsidRPr="00F733DC" w:rsidRDefault="00D711F3">
      <w:pPr>
        <w:numPr>
          <w:ilvl w:val="0"/>
          <w:numId w:val="2"/>
        </w:numPr>
        <w:ind w:hanging="360"/>
        <w:rPr>
          <w:rFonts w:ascii="Arial" w:hAnsi="Arial" w:cs="Arial"/>
        </w:rPr>
      </w:pPr>
      <w:hyperlink r:id="rId12">
        <w:r w:rsidRPr="00F733DC">
          <w:rPr>
            <w:rFonts w:ascii="Arial" w:hAnsi="Arial" w:cs="Arial"/>
            <w:color w:val="0000FF"/>
            <w:u w:val="single" w:color="0000FF"/>
          </w:rPr>
          <w:t>OMB Circular A-136, “Financial Reporting Requirements—Revised.”</w:t>
        </w:r>
      </w:hyperlink>
      <w:hyperlink r:id="rId13">
        <w:r w:rsidRPr="00F733DC">
          <w:rPr>
            <w:rFonts w:ascii="Arial" w:hAnsi="Arial" w:cs="Arial"/>
            <w:color w:val="0000FF"/>
          </w:rPr>
          <w:t xml:space="preserve"> </w:t>
        </w:r>
      </w:hyperlink>
    </w:p>
    <w:p w14:paraId="22D44BC6" w14:textId="77777777" w:rsidR="00AD0581" w:rsidRPr="00F733DC" w:rsidRDefault="00D711F3">
      <w:pPr>
        <w:spacing w:line="259" w:lineRule="auto"/>
        <w:ind w:left="0" w:firstLine="0"/>
        <w:rPr>
          <w:rFonts w:ascii="Arial" w:hAnsi="Arial" w:cs="Arial"/>
        </w:rPr>
      </w:pPr>
      <w:r w:rsidRPr="00F733DC">
        <w:rPr>
          <w:rFonts w:ascii="Arial" w:hAnsi="Arial" w:cs="Arial"/>
        </w:rPr>
        <w:t xml:space="preserve"> </w:t>
      </w:r>
    </w:p>
    <w:p w14:paraId="456B9DF5" w14:textId="6CE19BB4" w:rsidR="00AD0581" w:rsidRPr="00F733DC" w:rsidRDefault="00D711F3" w:rsidP="00F733DC">
      <w:pPr>
        <w:pStyle w:val="Heading3"/>
        <w:tabs>
          <w:tab w:val="left" w:pos="924"/>
          <w:tab w:val="left" w:pos="927"/>
        </w:tabs>
        <w:spacing w:before="1"/>
        <w:ind w:left="0" w:right="769" w:firstLine="0"/>
      </w:pPr>
      <w:r w:rsidRPr="00F733DC">
        <w:t xml:space="preserve">Section 3.0 </w:t>
      </w:r>
      <w:r w:rsidR="00F733DC">
        <w:t xml:space="preserve">- </w:t>
      </w:r>
      <w:r w:rsidRPr="00F733DC">
        <w:t>Cumulative Results of Operations</w:t>
      </w:r>
      <w:r w:rsidRPr="00F733DC">
        <w:t xml:space="preserve"> </w:t>
      </w:r>
    </w:p>
    <w:p w14:paraId="4C978E3B" w14:textId="77777777" w:rsidR="00AD0581" w:rsidRPr="00F733DC" w:rsidRDefault="00D711F3">
      <w:pPr>
        <w:spacing w:line="259" w:lineRule="auto"/>
        <w:ind w:left="0" w:firstLine="0"/>
        <w:rPr>
          <w:rFonts w:ascii="Arial" w:hAnsi="Arial" w:cs="Arial"/>
        </w:rPr>
      </w:pPr>
      <w:r w:rsidRPr="00F733DC">
        <w:rPr>
          <w:rFonts w:ascii="Arial" w:hAnsi="Arial" w:cs="Arial"/>
        </w:rPr>
        <w:t xml:space="preserve"> </w:t>
      </w:r>
    </w:p>
    <w:p w14:paraId="6D38392F" w14:textId="77777777" w:rsidR="00AD0581" w:rsidRPr="00F733DC" w:rsidRDefault="00D711F3">
      <w:pPr>
        <w:numPr>
          <w:ilvl w:val="0"/>
          <w:numId w:val="3"/>
        </w:numPr>
        <w:ind w:hanging="360"/>
        <w:rPr>
          <w:rFonts w:ascii="Arial" w:hAnsi="Arial" w:cs="Arial"/>
        </w:rPr>
      </w:pPr>
      <w:r w:rsidRPr="00F733DC">
        <w:rPr>
          <w:rFonts w:ascii="Arial" w:hAnsi="Arial" w:cs="Arial"/>
        </w:rPr>
        <w:t xml:space="preserve">Cumulative results of operations are the net difference between the following: </w:t>
      </w:r>
    </w:p>
    <w:p w14:paraId="20F6B26B" w14:textId="77777777" w:rsidR="00AD0581" w:rsidRPr="00F733DC" w:rsidRDefault="00D711F3">
      <w:pPr>
        <w:spacing w:line="259" w:lineRule="auto"/>
        <w:ind w:left="720" w:firstLine="0"/>
        <w:rPr>
          <w:rFonts w:ascii="Arial" w:hAnsi="Arial" w:cs="Arial"/>
        </w:rPr>
      </w:pPr>
      <w:r w:rsidRPr="00F733DC">
        <w:rPr>
          <w:rFonts w:ascii="Arial" w:hAnsi="Arial" w:cs="Arial"/>
        </w:rPr>
        <w:t xml:space="preserve"> </w:t>
      </w:r>
    </w:p>
    <w:p w14:paraId="33276D8B" w14:textId="77777777" w:rsidR="00AD0581" w:rsidRPr="00F733DC" w:rsidRDefault="00D711F3">
      <w:pPr>
        <w:numPr>
          <w:ilvl w:val="1"/>
          <w:numId w:val="3"/>
        </w:numPr>
        <w:ind w:hanging="360"/>
        <w:rPr>
          <w:rFonts w:ascii="Arial" w:hAnsi="Arial" w:cs="Arial"/>
        </w:rPr>
      </w:pPr>
      <w:r w:rsidRPr="00F733DC">
        <w:rPr>
          <w:rFonts w:ascii="Arial" w:hAnsi="Arial" w:cs="Arial"/>
        </w:rPr>
        <w:t xml:space="preserve">Expenses, losses, and transfers out from the inception of an agency or activity; and </w:t>
      </w:r>
    </w:p>
    <w:p w14:paraId="0AA22998" w14:textId="77777777" w:rsidR="00AD0581" w:rsidRPr="00F733DC" w:rsidRDefault="00D711F3">
      <w:pPr>
        <w:numPr>
          <w:ilvl w:val="1"/>
          <w:numId w:val="3"/>
        </w:numPr>
        <w:ind w:hanging="360"/>
        <w:rPr>
          <w:rFonts w:ascii="Arial" w:hAnsi="Arial" w:cs="Arial"/>
        </w:rPr>
      </w:pPr>
      <w:r w:rsidRPr="00F733DC">
        <w:rPr>
          <w:rFonts w:ascii="Arial" w:hAnsi="Arial" w:cs="Arial"/>
        </w:rPr>
        <w:t xml:space="preserve">Financing sources (i.e., appropriations and revenues) and gains from the inception of an agency or activity (whether financed from appropriations, transfers in, revenues, reimbursements, or any combination of the four.) </w:t>
      </w:r>
    </w:p>
    <w:p w14:paraId="0A225343" w14:textId="77777777" w:rsidR="00AD0581" w:rsidRPr="00F733DC" w:rsidRDefault="00D711F3">
      <w:pPr>
        <w:spacing w:line="259" w:lineRule="auto"/>
        <w:ind w:left="1080" w:firstLine="0"/>
        <w:rPr>
          <w:rFonts w:ascii="Arial" w:hAnsi="Arial" w:cs="Arial"/>
        </w:rPr>
      </w:pPr>
      <w:r w:rsidRPr="00F733DC">
        <w:rPr>
          <w:rFonts w:ascii="Arial" w:hAnsi="Arial" w:cs="Arial"/>
        </w:rPr>
        <w:t xml:space="preserve"> </w:t>
      </w:r>
    </w:p>
    <w:p w14:paraId="61E0D6CD" w14:textId="77777777" w:rsidR="00AD0581" w:rsidRPr="00F733DC" w:rsidRDefault="00D711F3">
      <w:pPr>
        <w:ind w:left="1075"/>
        <w:rPr>
          <w:rFonts w:ascii="Arial" w:hAnsi="Arial" w:cs="Arial"/>
        </w:rPr>
      </w:pPr>
      <w:r w:rsidRPr="00F733DC">
        <w:rPr>
          <w:rFonts w:ascii="Arial" w:hAnsi="Arial" w:cs="Arial"/>
        </w:rPr>
        <w:t xml:space="preserve">The cumulative results of operations are sometimes referred to as “retained earnings” or “loss” in revolving funds or business-like activities. </w:t>
      </w:r>
    </w:p>
    <w:p w14:paraId="099D6FC9" w14:textId="77777777" w:rsidR="00AD0581" w:rsidRPr="00F733DC" w:rsidRDefault="00D711F3">
      <w:pPr>
        <w:spacing w:line="259" w:lineRule="auto"/>
        <w:ind w:left="720" w:firstLine="0"/>
        <w:rPr>
          <w:rFonts w:ascii="Arial" w:hAnsi="Arial" w:cs="Arial"/>
        </w:rPr>
      </w:pPr>
      <w:r w:rsidRPr="00F733DC">
        <w:rPr>
          <w:rFonts w:ascii="Arial" w:hAnsi="Arial" w:cs="Arial"/>
        </w:rPr>
        <w:t xml:space="preserve"> </w:t>
      </w:r>
    </w:p>
    <w:p w14:paraId="77D6286A" w14:textId="77777777" w:rsidR="00AD0581" w:rsidRPr="00F733DC" w:rsidRDefault="00D711F3">
      <w:pPr>
        <w:spacing w:line="259" w:lineRule="auto"/>
        <w:ind w:left="720" w:firstLine="0"/>
        <w:rPr>
          <w:rFonts w:ascii="Arial" w:hAnsi="Arial" w:cs="Arial"/>
        </w:rPr>
      </w:pPr>
      <w:r w:rsidRPr="00F733DC">
        <w:rPr>
          <w:rFonts w:ascii="Arial" w:hAnsi="Arial" w:cs="Arial"/>
        </w:rPr>
        <w:t xml:space="preserve"> </w:t>
      </w:r>
    </w:p>
    <w:p w14:paraId="6DD965C3" w14:textId="77777777" w:rsidR="00AD0581" w:rsidRPr="00F733DC" w:rsidRDefault="00D711F3">
      <w:pPr>
        <w:spacing w:line="259" w:lineRule="auto"/>
        <w:ind w:left="720" w:firstLine="0"/>
        <w:rPr>
          <w:rFonts w:ascii="Arial" w:hAnsi="Arial" w:cs="Arial"/>
        </w:rPr>
      </w:pPr>
      <w:r w:rsidRPr="00F733DC">
        <w:rPr>
          <w:rFonts w:ascii="Arial" w:hAnsi="Arial" w:cs="Arial"/>
        </w:rPr>
        <w:lastRenderedPageBreak/>
        <w:t xml:space="preserve"> </w:t>
      </w:r>
    </w:p>
    <w:p w14:paraId="4821E266" w14:textId="77777777" w:rsidR="00AD0581" w:rsidRPr="00F733DC" w:rsidRDefault="00D711F3">
      <w:pPr>
        <w:spacing w:line="259" w:lineRule="auto"/>
        <w:ind w:left="720" w:firstLine="0"/>
        <w:rPr>
          <w:rFonts w:ascii="Arial" w:hAnsi="Arial" w:cs="Arial"/>
        </w:rPr>
      </w:pPr>
      <w:r w:rsidRPr="00F733DC">
        <w:rPr>
          <w:rFonts w:ascii="Arial" w:hAnsi="Arial" w:cs="Arial"/>
        </w:rPr>
        <w:t xml:space="preserve"> </w:t>
      </w:r>
    </w:p>
    <w:p w14:paraId="56F746EF" w14:textId="77777777" w:rsidR="00AD0581" w:rsidRPr="00F733DC" w:rsidRDefault="00D711F3">
      <w:pPr>
        <w:numPr>
          <w:ilvl w:val="0"/>
          <w:numId w:val="3"/>
        </w:numPr>
        <w:ind w:hanging="360"/>
        <w:rPr>
          <w:rFonts w:ascii="Arial" w:hAnsi="Arial" w:cs="Arial"/>
        </w:rPr>
      </w:pPr>
      <w:r w:rsidRPr="00F733DC">
        <w:rPr>
          <w:rFonts w:ascii="Arial" w:hAnsi="Arial" w:cs="Arial"/>
        </w:rPr>
        <w:t xml:space="preserve">The cumulative results of operations are adjusted quarterly by the results of operations (reported in the Statement of Net Costs) and other items. </w:t>
      </w:r>
    </w:p>
    <w:p w14:paraId="67691D88" w14:textId="77777777" w:rsidR="00AD0581" w:rsidRPr="00F733DC" w:rsidRDefault="00D711F3">
      <w:pPr>
        <w:spacing w:line="259" w:lineRule="auto"/>
        <w:ind w:left="720" w:firstLine="0"/>
        <w:rPr>
          <w:rFonts w:ascii="Arial" w:hAnsi="Arial" w:cs="Arial"/>
        </w:rPr>
      </w:pPr>
      <w:r w:rsidRPr="00F733DC">
        <w:rPr>
          <w:rFonts w:ascii="Arial" w:hAnsi="Arial" w:cs="Arial"/>
        </w:rPr>
        <w:t xml:space="preserve"> </w:t>
      </w:r>
    </w:p>
    <w:p w14:paraId="469EDB06" w14:textId="77777777" w:rsidR="00AD0581" w:rsidRPr="00F733DC" w:rsidRDefault="00D711F3">
      <w:pPr>
        <w:ind w:left="1425" w:hanging="360"/>
        <w:rPr>
          <w:rFonts w:ascii="Arial" w:hAnsi="Arial" w:cs="Arial"/>
        </w:rPr>
      </w:pPr>
      <w:r w:rsidRPr="00F733DC">
        <w:rPr>
          <w:rFonts w:ascii="Arial" w:hAnsi="Arial" w:cs="Arial"/>
        </w:rPr>
        <w:t>1.</w:t>
      </w:r>
      <w:r w:rsidRPr="00F733DC">
        <w:rPr>
          <w:rFonts w:ascii="Arial" w:hAnsi="Arial" w:cs="Arial"/>
          <w:vertAlign w:val="subscript"/>
        </w:rPr>
        <w:t></w:t>
      </w:r>
      <w:r w:rsidRPr="00F733DC">
        <w:rPr>
          <w:rFonts w:ascii="Arial" w:hAnsi="Arial" w:cs="Arial"/>
        </w:rPr>
        <w:t xml:space="preserve"> </w:t>
      </w:r>
      <w:r w:rsidRPr="00F733DC">
        <w:rPr>
          <w:rFonts w:ascii="Arial" w:hAnsi="Arial" w:cs="Arial"/>
        </w:rPr>
        <w:tab/>
        <w:t xml:space="preserve">Increases occur with transfers in, donations, or when the results of operations show an excess of unexpended appropriations, financing sources, and gains over appropriations used, expenses, losses, and transfers out. </w:t>
      </w:r>
    </w:p>
    <w:p w14:paraId="57454F3E" w14:textId="77777777" w:rsidR="00AD0581" w:rsidRPr="00F733DC" w:rsidRDefault="00D711F3">
      <w:pPr>
        <w:spacing w:line="259" w:lineRule="auto"/>
        <w:ind w:left="1080" w:firstLine="0"/>
        <w:rPr>
          <w:rFonts w:ascii="Arial" w:hAnsi="Arial" w:cs="Arial"/>
        </w:rPr>
      </w:pPr>
      <w:r w:rsidRPr="00F733DC">
        <w:rPr>
          <w:rFonts w:ascii="Arial" w:hAnsi="Arial" w:cs="Arial"/>
        </w:rPr>
        <w:t xml:space="preserve"> </w:t>
      </w:r>
    </w:p>
    <w:p w14:paraId="18FDE41A" w14:textId="77777777" w:rsidR="00AD0581" w:rsidRPr="00F733DC" w:rsidRDefault="00D711F3">
      <w:pPr>
        <w:numPr>
          <w:ilvl w:val="1"/>
          <w:numId w:val="4"/>
        </w:numPr>
        <w:ind w:hanging="360"/>
        <w:rPr>
          <w:rFonts w:ascii="Arial" w:hAnsi="Arial" w:cs="Arial"/>
        </w:rPr>
      </w:pPr>
      <w:r w:rsidRPr="00F733DC">
        <w:rPr>
          <w:rFonts w:ascii="Arial" w:hAnsi="Arial" w:cs="Arial"/>
        </w:rPr>
        <w:t xml:space="preserve">Decreases occur when an excess of expenses, losses, and transfers out exists.  In revolving funds or business-like activities, the excess is sometimes referred to as “net income” or “loss.” </w:t>
      </w:r>
    </w:p>
    <w:p w14:paraId="5F248678" w14:textId="77777777" w:rsidR="00AD0581" w:rsidRPr="00F733DC" w:rsidRDefault="00D711F3">
      <w:pPr>
        <w:spacing w:line="259" w:lineRule="auto"/>
        <w:ind w:left="1080" w:firstLine="0"/>
        <w:rPr>
          <w:rFonts w:ascii="Arial" w:hAnsi="Arial" w:cs="Arial"/>
        </w:rPr>
      </w:pPr>
      <w:r w:rsidRPr="00F733DC">
        <w:rPr>
          <w:rFonts w:ascii="Arial" w:hAnsi="Arial" w:cs="Arial"/>
        </w:rPr>
        <w:t xml:space="preserve"> </w:t>
      </w:r>
    </w:p>
    <w:p w14:paraId="17479F4F" w14:textId="77777777" w:rsidR="00AD0581" w:rsidRPr="00F733DC" w:rsidRDefault="00D711F3">
      <w:pPr>
        <w:numPr>
          <w:ilvl w:val="1"/>
          <w:numId w:val="4"/>
        </w:numPr>
        <w:ind w:hanging="360"/>
        <w:rPr>
          <w:rFonts w:ascii="Arial" w:hAnsi="Arial" w:cs="Arial"/>
        </w:rPr>
      </w:pPr>
      <w:r w:rsidRPr="00F733DC">
        <w:rPr>
          <w:rFonts w:ascii="Arial" w:hAnsi="Arial" w:cs="Arial"/>
          <w:vertAlign w:val="subscript"/>
        </w:rPr>
        <w:t></w:t>
      </w:r>
      <w:r w:rsidRPr="00F733DC">
        <w:rPr>
          <w:rFonts w:ascii="Arial" w:hAnsi="Arial" w:cs="Arial"/>
        </w:rPr>
        <w:t xml:space="preserve">Adjustments to cumulative results of operations may also arise from prior- period adjustments and distributions of the excess financing sources and gains.  These adjustments should be in accordance with laws, regulations, or administrative designations.  See </w:t>
      </w:r>
      <w:hyperlink r:id="rId14">
        <w:r w:rsidRPr="00F733DC">
          <w:rPr>
            <w:rFonts w:ascii="Arial" w:hAnsi="Arial" w:cs="Arial"/>
            <w:color w:val="0000FF"/>
            <w:u w:val="single" w:color="0000FF"/>
          </w:rPr>
          <w:t>SFFAS No. 21, Reporting</w:t>
        </w:r>
      </w:hyperlink>
      <w:hyperlink r:id="rId15">
        <w:r w:rsidRPr="00F733DC">
          <w:rPr>
            <w:rFonts w:ascii="Arial" w:hAnsi="Arial" w:cs="Arial"/>
            <w:color w:val="0000FF"/>
          </w:rPr>
          <w:t xml:space="preserve"> </w:t>
        </w:r>
      </w:hyperlink>
      <w:hyperlink r:id="rId16">
        <w:r w:rsidRPr="00F733DC">
          <w:rPr>
            <w:rFonts w:ascii="Arial" w:hAnsi="Arial" w:cs="Arial"/>
            <w:color w:val="0000FF"/>
            <w:u w:val="single" w:color="0000FF"/>
          </w:rPr>
          <w:t>Corrections of Errors and Changes in Accounting Principles; Amending</w:t>
        </w:r>
      </w:hyperlink>
      <w:hyperlink r:id="rId17">
        <w:r w:rsidRPr="00F733DC">
          <w:rPr>
            <w:rFonts w:ascii="Arial" w:hAnsi="Arial" w:cs="Arial"/>
            <w:color w:val="0000FF"/>
          </w:rPr>
          <w:t xml:space="preserve"> </w:t>
        </w:r>
      </w:hyperlink>
      <w:hyperlink r:id="rId18">
        <w:r w:rsidRPr="00F733DC">
          <w:rPr>
            <w:rFonts w:ascii="Arial" w:hAnsi="Arial" w:cs="Arial"/>
            <w:color w:val="0000FF"/>
            <w:u w:val="single" w:color="0000FF"/>
          </w:rPr>
          <w:t>SFFAS No. 7, Accounting for Revenue and Other Financing Sources.</w:t>
        </w:r>
      </w:hyperlink>
      <w:hyperlink r:id="rId19">
        <w:r w:rsidRPr="00F733DC">
          <w:rPr>
            <w:rFonts w:ascii="Arial" w:hAnsi="Arial" w:cs="Arial"/>
          </w:rPr>
          <w:t xml:space="preserve"> </w:t>
        </w:r>
      </w:hyperlink>
    </w:p>
    <w:p w14:paraId="31B75AE3" w14:textId="77777777" w:rsidR="00AD0581" w:rsidRPr="00F733DC" w:rsidRDefault="00D711F3">
      <w:pPr>
        <w:spacing w:line="259" w:lineRule="auto"/>
        <w:ind w:left="0" w:firstLine="0"/>
        <w:rPr>
          <w:rFonts w:ascii="Arial" w:hAnsi="Arial" w:cs="Arial"/>
        </w:rPr>
      </w:pPr>
      <w:r w:rsidRPr="00F733DC">
        <w:rPr>
          <w:rFonts w:ascii="Arial" w:hAnsi="Arial" w:cs="Arial"/>
        </w:rPr>
        <w:t xml:space="preserve"> </w:t>
      </w:r>
    </w:p>
    <w:p w14:paraId="6226915A" w14:textId="1D32C1BB" w:rsidR="00AD0581" w:rsidRPr="00F733DC" w:rsidRDefault="00D711F3" w:rsidP="00F733DC">
      <w:pPr>
        <w:pStyle w:val="Heading3"/>
        <w:tabs>
          <w:tab w:val="left" w:pos="924"/>
          <w:tab w:val="left" w:pos="927"/>
        </w:tabs>
        <w:spacing w:before="1"/>
        <w:ind w:left="0" w:right="769" w:firstLine="0"/>
      </w:pPr>
      <w:r w:rsidRPr="00F733DC">
        <w:t>Section 4.0</w:t>
      </w:r>
      <w:r w:rsidR="00F733DC">
        <w:t xml:space="preserve"> -</w:t>
      </w:r>
      <w:r w:rsidRPr="00F733DC">
        <w:t xml:space="preserve"> Unexpended Appropriations</w:t>
      </w:r>
      <w:r w:rsidRPr="00F733DC">
        <w:t xml:space="preserve"> </w:t>
      </w:r>
    </w:p>
    <w:p w14:paraId="7CA31032" w14:textId="77777777" w:rsidR="00AD0581" w:rsidRPr="00F733DC" w:rsidRDefault="00D711F3">
      <w:pPr>
        <w:spacing w:line="259" w:lineRule="auto"/>
        <w:ind w:left="0" w:firstLine="0"/>
        <w:rPr>
          <w:rFonts w:ascii="Arial" w:hAnsi="Arial" w:cs="Arial"/>
        </w:rPr>
      </w:pPr>
      <w:r w:rsidRPr="00F733DC">
        <w:rPr>
          <w:rFonts w:ascii="Arial" w:hAnsi="Arial" w:cs="Arial"/>
        </w:rPr>
        <w:t xml:space="preserve"> </w:t>
      </w:r>
    </w:p>
    <w:p w14:paraId="16B13A97" w14:textId="77777777" w:rsidR="00AD0581" w:rsidRPr="00F733DC" w:rsidRDefault="00D711F3">
      <w:pPr>
        <w:numPr>
          <w:ilvl w:val="0"/>
          <w:numId w:val="5"/>
        </w:numPr>
        <w:ind w:hanging="360"/>
        <w:rPr>
          <w:rFonts w:ascii="Arial" w:hAnsi="Arial" w:cs="Arial"/>
        </w:rPr>
      </w:pPr>
      <w:r w:rsidRPr="00F733DC">
        <w:rPr>
          <w:rFonts w:ascii="Arial" w:hAnsi="Arial" w:cs="Arial"/>
        </w:rPr>
        <w:t xml:space="preserve">Unexpended appropriations represent amounts of authority at the reporting date that are either: </w:t>
      </w:r>
    </w:p>
    <w:p w14:paraId="2821600A" w14:textId="77777777" w:rsidR="00AD0581" w:rsidRPr="00F733DC" w:rsidRDefault="00D711F3">
      <w:pPr>
        <w:spacing w:line="259" w:lineRule="auto"/>
        <w:ind w:left="720" w:firstLine="0"/>
        <w:rPr>
          <w:rFonts w:ascii="Arial" w:hAnsi="Arial" w:cs="Arial"/>
        </w:rPr>
      </w:pPr>
      <w:r w:rsidRPr="00F733DC">
        <w:rPr>
          <w:rFonts w:ascii="Arial" w:hAnsi="Arial" w:cs="Arial"/>
        </w:rPr>
        <w:t xml:space="preserve"> </w:t>
      </w:r>
    </w:p>
    <w:p w14:paraId="236E276B" w14:textId="77777777" w:rsidR="00AD0581" w:rsidRPr="00F733DC" w:rsidRDefault="00D711F3">
      <w:pPr>
        <w:numPr>
          <w:ilvl w:val="1"/>
          <w:numId w:val="5"/>
        </w:numPr>
        <w:ind w:hanging="434"/>
        <w:rPr>
          <w:rFonts w:ascii="Arial" w:hAnsi="Arial" w:cs="Arial"/>
        </w:rPr>
      </w:pPr>
      <w:r w:rsidRPr="00F733DC">
        <w:rPr>
          <w:rFonts w:ascii="Arial" w:hAnsi="Arial" w:cs="Arial"/>
        </w:rPr>
        <w:t xml:space="preserve">Unobligated and have not lapsed, rescinded, or withdrawn; or </w:t>
      </w:r>
    </w:p>
    <w:p w14:paraId="53EAE7CC" w14:textId="77777777" w:rsidR="00AD0581" w:rsidRPr="00F733DC" w:rsidRDefault="00D711F3">
      <w:pPr>
        <w:spacing w:line="259" w:lineRule="auto"/>
        <w:ind w:left="1080" w:firstLine="0"/>
        <w:rPr>
          <w:rFonts w:ascii="Arial" w:hAnsi="Arial" w:cs="Arial"/>
        </w:rPr>
      </w:pPr>
      <w:r w:rsidRPr="00F733DC">
        <w:rPr>
          <w:rFonts w:ascii="Arial" w:hAnsi="Arial" w:cs="Arial"/>
        </w:rPr>
        <w:t xml:space="preserve"> </w:t>
      </w:r>
    </w:p>
    <w:p w14:paraId="75CB523A" w14:textId="77777777" w:rsidR="00AD0581" w:rsidRPr="00F733DC" w:rsidRDefault="00D711F3">
      <w:pPr>
        <w:numPr>
          <w:ilvl w:val="1"/>
          <w:numId w:val="5"/>
        </w:numPr>
        <w:ind w:hanging="434"/>
        <w:rPr>
          <w:rFonts w:ascii="Arial" w:hAnsi="Arial" w:cs="Arial"/>
        </w:rPr>
      </w:pPr>
      <w:r w:rsidRPr="00F733DC">
        <w:rPr>
          <w:rFonts w:ascii="Arial" w:hAnsi="Arial" w:cs="Arial"/>
        </w:rPr>
        <w:t xml:space="preserve">Obligated, but not yet expended (e.g., undelivered orders). </w:t>
      </w:r>
    </w:p>
    <w:p w14:paraId="141E621A" w14:textId="77777777" w:rsidR="00AD0581" w:rsidRPr="00F733DC" w:rsidRDefault="00D711F3">
      <w:pPr>
        <w:spacing w:line="259" w:lineRule="auto"/>
        <w:ind w:left="720" w:firstLine="0"/>
        <w:rPr>
          <w:rFonts w:ascii="Arial" w:hAnsi="Arial" w:cs="Arial"/>
        </w:rPr>
      </w:pPr>
      <w:r w:rsidRPr="00F733DC">
        <w:rPr>
          <w:rFonts w:ascii="Arial" w:hAnsi="Arial" w:cs="Arial"/>
        </w:rPr>
        <w:t xml:space="preserve"> </w:t>
      </w:r>
    </w:p>
    <w:p w14:paraId="6CA629A1" w14:textId="77777777" w:rsidR="00AD0581" w:rsidRPr="00F733DC" w:rsidRDefault="00D711F3">
      <w:pPr>
        <w:ind w:left="730"/>
        <w:rPr>
          <w:rFonts w:ascii="Arial" w:hAnsi="Arial" w:cs="Arial"/>
        </w:rPr>
      </w:pPr>
      <w:r w:rsidRPr="00F733DC">
        <w:rPr>
          <w:rFonts w:ascii="Arial" w:hAnsi="Arial" w:cs="Arial"/>
        </w:rPr>
        <w:t xml:space="preserve">Unexpended appropriations include, but are not limited to, combinations of the unobligated allotment and unliquidated obligation accounts. </w:t>
      </w:r>
    </w:p>
    <w:p w14:paraId="3D97E971" w14:textId="77777777" w:rsidR="00AD0581" w:rsidRPr="00F733DC" w:rsidRDefault="00D711F3">
      <w:pPr>
        <w:spacing w:line="259" w:lineRule="auto"/>
        <w:ind w:left="720" w:firstLine="0"/>
        <w:rPr>
          <w:rFonts w:ascii="Arial" w:hAnsi="Arial" w:cs="Arial"/>
        </w:rPr>
      </w:pPr>
      <w:r w:rsidRPr="00F733DC">
        <w:rPr>
          <w:rFonts w:ascii="Arial" w:hAnsi="Arial" w:cs="Arial"/>
        </w:rPr>
        <w:t xml:space="preserve"> </w:t>
      </w:r>
    </w:p>
    <w:p w14:paraId="07E379E2" w14:textId="77777777" w:rsidR="00AD0581" w:rsidRPr="00F733DC" w:rsidRDefault="00D711F3">
      <w:pPr>
        <w:numPr>
          <w:ilvl w:val="0"/>
          <w:numId w:val="5"/>
        </w:numPr>
        <w:ind w:hanging="360"/>
        <w:rPr>
          <w:rFonts w:ascii="Arial" w:hAnsi="Arial" w:cs="Arial"/>
        </w:rPr>
      </w:pPr>
      <w:r w:rsidRPr="00F733DC">
        <w:rPr>
          <w:rFonts w:ascii="Arial" w:hAnsi="Arial" w:cs="Arial"/>
        </w:rPr>
        <w:t xml:space="preserve">Decreases in unexpended appropriations occur in the following circumstances: </w:t>
      </w:r>
    </w:p>
    <w:p w14:paraId="3CC780CF" w14:textId="77777777" w:rsidR="00AD0581" w:rsidRPr="00F733DC" w:rsidRDefault="00D711F3">
      <w:pPr>
        <w:spacing w:line="259" w:lineRule="auto"/>
        <w:ind w:left="720" w:firstLine="0"/>
        <w:rPr>
          <w:rFonts w:ascii="Arial" w:hAnsi="Arial" w:cs="Arial"/>
        </w:rPr>
      </w:pPr>
      <w:r w:rsidRPr="00F733DC">
        <w:rPr>
          <w:rFonts w:ascii="Arial" w:hAnsi="Arial" w:cs="Arial"/>
        </w:rPr>
        <w:t xml:space="preserve"> </w:t>
      </w:r>
    </w:p>
    <w:p w14:paraId="4CA55765" w14:textId="77777777" w:rsidR="00AD0581" w:rsidRPr="00F733DC" w:rsidRDefault="00D711F3">
      <w:pPr>
        <w:numPr>
          <w:ilvl w:val="1"/>
          <w:numId w:val="5"/>
        </w:numPr>
        <w:ind w:hanging="434"/>
        <w:rPr>
          <w:rFonts w:ascii="Arial" w:hAnsi="Arial" w:cs="Arial"/>
        </w:rPr>
      </w:pPr>
      <w:r w:rsidRPr="00F733DC">
        <w:rPr>
          <w:rFonts w:ascii="Arial" w:hAnsi="Arial" w:cs="Arial"/>
        </w:rPr>
        <w:t xml:space="preserve">When unobligated amounts lapse, are withdrawn, or are rescinded; </w:t>
      </w:r>
    </w:p>
    <w:p w14:paraId="7E16A17E" w14:textId="77777777" w:rsidR="00AD0581" w:rsidRPr="00F733DC" w:rsidRDefault="00D711F3">
      <w:pPr>
        <w:spacing w:line="259" w:lineRule="auto"/>
        <w:ind w:left="1080" w:firstLine="0"/>
        <w:rPr>
          <w:rFonts w:ascii="Arial" w:hAnsi="Arial" w:cs="Arial"/>
        </w:rPr>
      </w:pPr>
      <w:r w:rsidRPr="00F733DC">
        <w:rPr>
          <w:rFonts w:ascii="Arial" w:hAnsi="Arial" w:cs="Arial"/>
        </w:rPr>
        <w:t xml:space="preserve"> </w:t>
      </w:r>
    </w:p>
    <w:p w14:paraId="453E5CE1" w14:textId="77777777" w:rsidR="00AD0581" w:rsidRPr="00F733DC" w:rsidRDefault="00D711F3">
      <w:pPr>
        <w:numPr>
          <w:ilvl w:val="1"/>
          <w:numId w:val="5"/>
        </w:numPr>
        <w:ind w:hanging="434"/>
        <w:rPr>
          <w:rFonts w:ascii="Arial" w:hAnsi="Arial" w:cs="Arial"/>
        </w:rPr>
      </w:pPr>
      <w:r w:rsidRPr="00F733DC">
        <w:rPr>
          <w:rFonts w:ascii="Arial" w:hAnsi="Arial" w:cs="Arial"/>
        </w:rPr>
        <w:lastRenderedPageBreak/>
        <w:t>When obligations representing undelivered orders are canceled (</w:t>
      </w:r>
      <w:proofErr w:type="spellStart"/>
      <w:r w:rsidRPr="00F733DC">
        <w:rPr>
          <w:rFonts w:ascii="Arial" w:hAnsi="Arial" w:cs="Arial"/>
        </w:rPr>
        <w:t>deobligated</w:t>
      </w:r>
      <w:proofErr w:type="spellEnd"/>
      <w:r w:rsidRPr="00F733DC">
        <w:rPr>
          <w:rFonts w:ascii="Arial" w:hAnsi="Arial" w:cs="Arial"/>
        </w:rPr>
        <w:t xml:space="preserve">) after the related appropriation has lapsed, been withdrawn, or been rescinded; and </w:t>
      </w:r>
    </w:p>
    <w:p w14:paraId="047DF231" w14:textId="77777777" w:rsidR="00AD0581" w:rsidRPr="00F733DC" w:rsidRDefault="00D711F3">
      <w:pPr>
        <w:spacing w:line="259" w:lineRule="auto"/>
        <w:ind w:left="1080" w:firstLine="0"/>
        <w:rPr>
          <w:rFonts w:ascii="Arial" w:hAnsi="Arial" w:cs="Arial"/>
        </w:rPr>
      </w:pPr>
      <w:r w:rsidRPr="00F733DC">
        <w:rPr>
          <w:rFonts w:ascii="Arial" w:hAnsi="Arial" w:cs="Arial"/>
        </w:rPr>
        <w:t xml:space="preserve"> </w:t>
      </w:r>
    </w:p>
    <w:p w14:paraId="6EC0FC18" w14:textId="77777777" w:rsidR="00AD0581" w:rsidRPr="00F733DC" w:rsidRDefault="00D711F3">
      <w:pPr>
        <w:numPr>
          <w:ilvl w:val="1"/>
          <w:numId w:val="5"/>
        </w:numPr>
        <w:ind w:hanging="434"/>
        <w:rPr>
          <w:rFonts w:ascii="Arial" w:hAnsi="Arial" w:cs="Arial"/>
        </w:rPr>
      </w:pPr>
      <w:r w:rsidRPr="00F733DC">
        <w:rPr>
          <w:rFonts w:ascii="Arial" w:hAnsi="Arial" w:cs="Arial"/>
        </w:rPr>
        <w:t xml:space="preserve">When undelivered orders are received and accepted. </w:t>
      </w:r>
    </w:p>
    <w:p w14:paraId="7C940AB1" w14:textId="77777777" w:rsidR="00AD0581" w:rsidRPr="00F733DC" w:rsidRDefault="00D711F3">
      <w:pPr>
        <w:spacing w:line="259" w:lineRule="auto"/>
        <w:ind w:left="1080" w:firstLine="0"/>
        <w:rPr>
          <w:rFonts w:ascii="Arial" w:hAnsi="Arial" w:cs="Arial"/>
        </w:rPr>
      </w:pPr>
      <w:r w:rsidRPr="00F733DC">
        <w:rPr>
          <w:rFonts w:ascii="Arial" w:hAnsi="Arial" w:cs="Arial"/>
        </w:rPr>
        <w:t xml:space="preserve"> </w:t>
      </w:r>
    </w:p>
    <w:p w14:paraId="566B30BF" w14:textId="77777777" w:rsidR="00AD0581" w:rsidRPr="00F733DC" w:rsidRDefault="00D711F3">
      <w:pPr>
        <w:ind w:left="730"/>
        <w:rPr>
          <w:rFonts w:ascii="Arial" w:hAnsi="Arial" w:cs="Arial"/>
        </w:rPr>
      </w:pPr>
      <w:r w:rsidRPr="00F733DC">
        <w:rPr>
          <w:rFonts w:ascii="Arial" w:hAnsi="Arial" w:cs="Arial"/>
        </w:rPr>
        <w:t xml:space="preserve">Increases occur when funding (or obligation) authority is made available. </w:t>
      </w:r>
    </w:p>
    <w:p w14:paraId="054DAE52" w14:textId="6A9D0DC8" w:rsidR="00AD0581" w:rsidRPr="00F733DC" w:rsidRDefault="00D711F3">
      <w:pPr>
        <w:spacing w:line="259" w:lineRule="auto"/>
        <w:ind w:left="0" w:firstLine="0"/>
        <w:rPr>
          <w:rFonts w:ascii="Arial" w:hAnsi="Arial" w:cs="Arial"/>
        </w:rPr>
      </w:pPr>
      <w:r w:rsidRPr="00F733DC">
        <w:rPr>
          <w:rFonts w:ascii="Arial" w:hAnsi="Arial" w:cs="Arial"/>
        </w:rPr>
        <w:t xml:space="preserve"> </w:t>
      </w:r>
    </w:p>
    <w:p w14:paraId="102521E2" w14:textId="1D542971" w:rsidR="00AD0581" w:rsidRPr="00F733DC" w:rsidRDefault="00D711F3" w:rsidP="00F733DC">
      <w:pPr>
        <w:pStyle w:val="Heading3"/>
        <w:tabs>
          <w:tab w:val="left" w:pos="924"/>
          <w:tab w:val="left" w:pos="927"/>
        </w:tabs>
        <w:spacing w:before="1"/>
        <w:ind w:left="0" w:right="769" w:firstLine="0"/>
      </w:pPr>
      <w:r w:rsidRPr="00F733DC">
        <w:t>Section 5.0</w:t>
      </w:r>
      <w:r w:rsidR="00F733DC">
        <w:t xml:space="preserve"> -</w:t>
      </w:r>
      <w:r w:rsidRPr="00F733DC">
        <w:t xml:space="preserve"> Bureau Evaluations of Material or Significant Possible or Actual Unusual</w:t>
      </w:r>
      <w:r w:rsidRPr="00F733DC">
        <w:t xml:space="preserve"> </w:t>
      </w:r>
      <w:r w:rsidRPr="00F733DC">
        <w:t>Accounting Transactions</w:t>
      </w:r>
      <w:r w:rsidRPr="00F733DC">
        <w:t xml:space="preserve"> </w:t>
      </w:r>
    </w:p>
    <w:p w14:paraId="7B91A760" w14:textId="77777777" w:rsidR="00AD0581" w:rsidRPr="00F733DC" w:rsidRDefault="00D711F3">
      <w:pPr>
        <w:spacing w:line="259" w:lineRule="auto"/>
        <w:ind w:left="0" w:firstLine="0"/>
        <w:rPr>
          <w:rFonts w:ascii="Arial" w:hAnsi="Arial" w:cs="Arial"/>
        </w:rPr>
      </w:pPr>
      <w:r w:rsidRPr="00F733DC">
        <w:rPr>
          <w:rFonts w:ascii="Arial" w:hAnsi="Arial" w:cs="Arial"/>
        </w:rPr>
        <w:t xml:space="preserve"> </w:t>
      </w:r>
    </w:p>
    <w:p w14:paraId="1DCF0AA2" w14:textId="77777777" w:rsidR="00AD0581" w:rsidRPr="00F733DC" w:rsidRDefault="00D711F3">
      <w:pPr>
        <w:ind w:left="10"/>
        <w:rPr>
          <w:rFonts w:ascii="Arial" w:hAnsi="Arial" w:cs="Arial"/>
        </w:rPr>
      </w:pPr>
      <w:r w:rsidRPr="00F733DC">
        <w:rPr>
          <w:rFonts w:ascii="Arial" w:hAnsi="Arial" w:cs="Arial"/>
        </w:rPr>
        <w:t xml:space="preserve">Bureaus are required to evaluate material or significant possible or actual unusual accounting transactions (e.g. a possible or actual accrued receivable/revenue or accrued payable/expense or asset, a possible, anticipated, or actual transfer, a possible, anticipated, or actual budgetary resource or reduction of budgetary resources, a possible or actual contingency), regardless of whether the item has been apportioned or not apportioned on the SF 132, </w:t>
      </w:r>
      <w:r w:rsidRPr="00F733DC">
        <w:rPr>
          <w:rFonts w:ascii="Arial" w:hAnsi="Arial" w:cs="Arial"/>
          <w:i/>
        </w:rPr>
        <w:t xml:space="preserve">Apportionment and Reapportionment Schedule, </w:t>
      </w:r>
      <w:r w:rsidRPr="00F733DC">
        <w:rPr>
          <w:rFonts w:ascii="Arial" w:hAnsi="Arial" w:cs="Arial"/>
        </w:rPr>
        <w:t xml:space="preserve">and research if a) a proprietary accounting transaction(s) should be recorded; b) a budgetary accounting transaction should be recorded; and c) if yes to either a) or b), the appropriate accounting transactions that should be recorded and when (month/year) the accounting transactions should be recorded. </w:t>
      </w:r>
    </w:p>
    <w:p w14:paraId="2AD7ACF7" w14:textId="77777777" w:rsidR="00AD0581" w:rsidRPr="00F733DC" w:rsidRDefault="00D711F3">
      <w:pPr>
        <w:spacing w:line="259" w:lineRule="auto"/>
        <w:ind w:left="0" w:firstLine="0"/>
        <w:rPr>
          <w:rFonts w:ascii="Arial" w:hAnsi="Arial" w:cs="Arial"/>
        </w:rPr>
      </w:pPr>
      <w:r w:rsidRPr="00F733DC">
        <w:rPr>
          <w:rFonts w:ascii="Arial" w:hAnsi="Arial" w:cs="Arial"/>
        </w:rPr>
        <w:t xml:space="preserve"> </w:t>
      </w:r>
    </w:p>
    <w:p w14:paraId="2F13377A" w14:textId="77777777" w:rsidR="00AD0581" w:rsidRPr="00F733DC" w:rsidRDefault="00D711F3">
      <w:pPr>
        <w:ind w:left="10"/>
        <w:rPr>
          <w:rFonts w:ascii="Arial" w:hAnsi="Arial" w:cs="Arial"/>
        </w:rPr>
      </w:pPr>
      <w:r w:rsidRPr="00F733DC">
        <w:rPr>
          <w:rFonts w:ascii="Arial" w:hAnsi="Arial" w:cs="Arial"/>
        </w:rPr>
        <w:t xml:space="preserve">For these material or significant possible or actual unusual accounting transactions, the bureau’s evaluation is required to include consultation with a) the bureau’s CFO or equivalent, of both the underlying bureau and that bureau’s accounting service provider, if applicable, or his or her designee(s); and b) the Department’s Office of Financial </w:t>
      </w:r>
    </w:p>
    <w:p w14:paraId="0F44228F" w14:textId="77777777" w:rsidR="00AD0581" w:rsidRPr="00F733DC" w:rsidRDefault="00D711F3">
      <w:pPr>
        <w:ind w:left="10"/>
        <w:rPr>
          <w:rFonts w:ascii="Arial" w:hAnsi="Arial" w:cs="Arial"/>
        </w:rPr>
      </w:pPr>
      <w:r w:rsidRPr="00F733DC">
        <w:rPr>
          <w:rFonts w:ascii="Arial" w:hAnsi="Arial" w:cs="Arial"/>
        </w:rPr>
        <w:t xml:space="preserve">Management.  As appropriate, consultations should also include c) other bureau or Departmental offices; d) the U.S. Department of the Treasury, the Office of Management and Budget, and/or the Federal Accounting Standards Advisory Board; e) any other federal agencies; and f) any other relevant or applicable sources. </w:t>
      </w:r>
    </w:p>
    <w:p w14:paraId="43EE7641" w14:textId="77777777" w:rsidR="00AD0581" w:rsidRPr="00F733DC" w:rsidRDefault="00D711F3">
      <w:pPr>
        <w:spacing w:line="259" w:lineRule="auto"/>
        <w:ind w:left="0" w:firstLine="0"/>
        <w:rPr>
          <w:rFonts w:ascii="Arial" w:hAnsi="Arial" w:cs="Arial"/>
        </w:rPr>
      </w:pPr>
      <w:r w:rsidRPr="00F733DC">
        <w:rPr>
          <w:rFonts w:ascii="Arial" w:hAnsi="Arial" w:cs="Arial"/>
        </w:rPr>
        <w:t xml:space="preserve"> </w:t>
      </w:r>
    </w:p>
    <w:sectPr w:rsidR="00AD0581" w:rsidRPr="00F733DC">
      <w:headerReference w:type="even" r:id="rId20"/>
      <w:headerReference w:type="default" r:id="rId21"/>
      <w:headerReference w:type="first" r:id="rId22"/>
      <w:pgSz w:w="12240" w:h="15840"/>
      <w:pgMar w:top="1409" w:right="1805" w:bottom="1964" w:left="1800" w:header="69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A2895" w14:textId="77777777" w:rsidR="00D711F3" w:rsidRDefault="00D711F3">
      <w:pPr>
        <w:spacing w:line="240" w:lineRule="auto"/>
      </w:pPr>
      <w:r>
        <w:separator/>
      </w:r>
    </w:p>
  </w:endnote>
  <w:endnote w:type="continuationSeparator" w:id="0">
    <w:p w14:paraId="56D8B69D" w14:textId="77777777" w:rsidR="00D711F3" w:rsidRDefault="00D711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82EBC" w14:textId="77777777" w:rsidR="00D711F3" w:rsidRDefault="00D711F3">
      <w:pPr>
        <w:spacing w:line="240" w:lineRule="auto"/>
      </w:pPr>
      <w:r>
        <w:separator/>
      </w:r>
    </w:p>
  </w:footnote>
  <w:footnote w:type="continuationSeparator" w:id="0">
    <w:p w14:paraId="714E3C84" w14:textId="77777777" w:rsidR="00D711F3" w:rsidRDefault="00D711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4D521" w14:textId="77777777" w:rsidR="00AD0581" w:rsidRDefault="00D711F3">
    <w:pPr>
      <w:tabs>
        <w:tab w:val="center" w:pos="4321"/>
        <w:tab w:val="right" w:pos="8635"/>
      </w:tabs>
      <w:spacing w:line="259" w:lineRule="auto"/>
      <w:ind w:left="0" w:right="-6" w:firstLine="0"/>
    </w:pPr>
    <w:r>
      <w:rPr>
        <w:rFonts w:ascii="Calibri" w:eastAsia="Calibri" w:hAnsi="Calibri" w:cs="Calibri"/>
        <w:sz w:val="22"/>
      </w:rPr>
      <w:tab/>
    </w:r>
    <w:r>
      <w:rPr>
        <w:sz w:val="20"/>
      </w:rPr>
      <w:t>10-</w:t>
    </w:r>
    <w:r>
      <w:fldChar w:fldCharType="begin"/>
    </w:r>
    <w:r>
      <w:instrText xml:space="preserve"> PAGE   \* MERGEFORMAT </w:instrText>
    </w:r>
    <w:r>
      <w:fldChar w:fldCharType="separate"/>
    </w:r>
    <w:r>
      <w:rPr>
        <w:sz w:val="20"/>
      </w:rPr>
      <w:t>1</w:t>
    </w:r>
    <w:r>
      <w:rPr>
        <w:sz w:val="20"/>
      </w:rPr>
      <w:fldChar w:fldCharType="end"/>
    </w:r>
    <w:r>
      <w:rPr>
        <w:sz w:val="20"/>
      </w:rPr>
      <w:tab/>
      <w:t xml:space="preserve">Revised: 6/2016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116B2" w14:textId="4C2C8BC6" w:rsidR="00F733DC" w:rsidRPr="00CF3BAB" w:rsidRDefault="00F733DC" w:rsidP="00F733DC">
    <w:pPr>
      <w:tabs>
        <w:tab w:val="center" w:pos="4318"/>
        <w:tab w:val="right" w:pos="8638"/>
      </w:tabs>
      <w:spacing w:line="259" w:lineRule="auto"/>
      <w:ind w:left="0" w:right="-4" w:firstLine="0"/>
      <w:rPr>
        <w:rFonts w:ascii="Arial" w:eastAsia="Calibri" w:hAnsi="Arial" w:cs="Arial"/>
      </w:rPr>
    </w:pPr>
    <w:r w:rsidRPr="00CF3BAB">
      <w:rPr>
        <w:rFonts w:ascii="Arial" w:eastAsia="Calibri" w:hAnsi="Arial" w:cs="Arial"/>
      </w:rPr>
      <w:ptab w:relativeTo="margin" w:alignment="center" w:leader="none"/>
    </w:r>
    <w:r w:rsidRPr="00CF3BAB">
      <w:rPr>
        <w:rFonts w:ascii="Arial" w:eastAsia="Calibri" w:hAnsi="Arial" w:cs="Arial"/>
      </w:rPr>
      <w:t>Chapter 1</w:t>
    </w:r>
    <w:r>
      <w:rPr>
        <w:rFonts w:ascii="Arial" w:eastAsia="Calibri" w:hAnsi="Arial" w:cs="Arial"/>
      </w:rPr>
      <w:t>0</w:t>
    </w:r>
    <w:r w:rsidRPr="00CF3BAB">
      <w:rPr>
        <w:rFonts w:ascii="Arial" w:eastAsia="Calibri" w:hAnsi="Arial" w:cs="Arial"/>
      </w:rPr>
      <w:ptab w:relativeTo="margin" w:alignment="right" w:leader="none"/>
    </w:r>
    <w:r w:rsidRPr="00CF3BAB">
      <w:rPr>
        <w:rFonts w:ascii="Arial" w:eastAsia="Calibri" w:hAnsi="Arial" w:cs="Arial"/>
      </w:rPr>
      <w:t>Revised 06/2024</w:t>
    </w:r>
  </w:p>
  <w:p w14:paraId="7640F533" w14:textId="6640B588" w:rsidR="00AD0581" w:rsidRPr="00F733DC" w:rsidRDefault="00AD0581" w:rsidP="00F733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C3597" w14:textId="77777777" w:rsidR="00AD0581" w:rsidRDefault="00D711F3">
    <w:pPr>
      <w:tabs>
        <w:tab w:val="center" w:pos="4321"/>
        <w:tab w:val="right" w:pos="8635"/>
      </w:tabs>
      <w:spacing w:line="259" w:lineRule="auto"/>
      <w:ind w:left="0" w:right="-6" w:firstLine="0"/>
    </w:pPr>
    <w:r>
      <w:rPr>
        <w:rFonts w:ascii="Calibri" w:eastAsia="Calibri" w:hAnsi="Calibri" w:cs="Calibri"/>
        <w:sz w:val="22"/>
      </w:rPr>
      <w:tab/>
    </w:r>
    <w:r>
      <w:rPr>
        <w:sz w:val="20"/>
      </w:rPr>
      <w:t>10-</w:t>
    </w:r>
    <w:r>
      <w:fldChar w:fldCharType="begin"/>
    </w:r>
    <w:r>
      <w:instrText xml:space="preserve"> PAGE   \* MERGEFORMAT </w:instrText>
    </w:r>
    <w:r>
      <w:fldChar w:fldCharType="separate"/>
    </w:r>
    <w:r>
      <w:rPr>
        <w:sz w:val="20"/>
      </w:rPr>
      <w:t>1</w:t>
    </w:r>
    <w:r>
      <w:rPr>
        <w:sz w:val="20"/>
      </w:rPr>
      <w:fldChar w:fldCharType="end"/>
    </w:r>
    <w:r>
      <w:rPr>
        <w:sz w:val="20"/>
      </w:rPr>
      <w:tab/>
      <w:t xml:space="preserve">Revised: 6/2016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C178C"/>
    <w:multiLevelType w:val="hybridMultilevel"/>
    <w:tmpl w:val="A6EAF500"/>
    <w:lvl w:ilvl="0" w:tplc="9FAC341C">
      <w:start w:val="1"/>
      <w:numFmt w:val="lowerLetter"/>
      <w:lvlText w:val="%1."/>
      <w:lvlJc w:val="left"/>
      <w:pPr>
        <w:ind w:left="108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5234F52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CEC1A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0017C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DC051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56B9F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66899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94EDC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7834E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7F84240"/>
    <w:multiLevelType w:val="hybridMultilevel"/>
    <w:tmpl w:val="49E2D5AC"/>
    <w:lvl w:ilvl="0" w:tplc="E690BE44">
      <w:start w:val="1"/>
      <w:numFmt w:val="lowerLetter"/>
      <w:lvlText w:val="%1."/>
      <w:lvlJc w:val="left"/>
      <w:pPr>
        <w:ind w:left="106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18085AB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0828B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BE5CA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FAFF9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92F9F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28150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AE708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1A6E5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3EB7B00"/>
    <w:multiLevelType w:val="hybridMultilevel"/>
    <w:tmpl w:val="FB02133E"/>
    <w:lvl w:ilvl="0" w:tplc="A8A449C8">
      <w:start w:val="1"/>
      <w:numFmt w:val="lowerLetter"/>
      <w:lvlText w:val="%1."/>
      <w:lvlJc w:val="left"/>
      <w:pPr>
        <w:ind w:left="108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7F3EDECE">
      <w:start w:val="1"/>
      <w:numFmt w:val="decimal"/>
      <w:lvlText w:val="%2."/>
      <w:lvlJc w:val="left"/>
      <w:pPr>
        <w:ind w:left="1499"/>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F86AC7A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BA1A8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1AAAC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E0BF6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9456B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F0FBA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1C7CD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D5B7EC5"/>
    <w:multiLevelType w:val="hybridMultilevel"/>
    <w:tmpl w:val="7FCE8300"/>
    <w:lvl w:ilvl="0" w:tplc="E38C121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3AD3B4">
      <w:start w:val="2"/>
      <w:numFmt w:val="decimal"/>
      <w:lvlText w:val="%2."/>
      <w:lvlJc w:val="left"/>
      <w:pPr>
        <w:ind w:left="142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F7481D0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30638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82559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342F7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32538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ECC96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5E682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73A468C"/>
    <w:multiLevelType w:val="hybridMultilevel"/>
    <w:tmpl w:val="0374C550"/>
    <w:lvl w:ilvl="0" w:tplc="1E3C2616">
      <w:start w:val="1"/>
      <w:numFmt w:val="lowerLetter"/>
      <w:lvlText w:val="%1."/>
      <w:lvlJc w:val="left"/>
      <w:pPr>
        <w:ind w:left="108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47FE6E3C">
      <w:start w:val="1"/>
      <w:numFmt w:val="decimal"/>
      <w:lvlText w:val="%2."/>
      <w:lvlJc w:val="left"/>
      <w:pPr>
        <w:ind w:left="142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494690B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3E2AF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B2C8E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3CEF8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36123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262F4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3A08B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609699748">
    <w:abstractNumId w:val="0"/>
  </w:num>
  <w:num w:numId="2" w16cid:durableId="288435330">
    <w:abstractNumId w:val="1"/>
  </w:num>
  <w:num w:numId="3" w16cid:durableId="1927035486">
    <w:abstractNumId w:val="4"/>
  </w:num>
  <w:num w:numId="4" w16cid:durableId="182403329">
    <w:abstractNumId w:val="3"/>
  </w:num>
  <w:num w:numId="5" w16cid:durableId="5915455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581"/>
    <w:rsid w:val="00AD0581"/>
    <w:rsid w:val="00D711F3"/>
    <w:rsid w:val="00E13E4C"/>
    <w:rsid w:val="00F73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60228"/>
  <w15:docId w15:val="{E60C1AC9-412F-4800-88EA-F22AB8A87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1076"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0" w:line="249" w:lineRule="auto"/>
      <w:ind w:left="10" w:hanging="10"/>
      <w:outlineLvl w:val="0"/>
    </w:pPr>
    <w:rPr>
      <w:rFonts w:ascii="Times New Roman" w:eastAsia="Times New Roman" w:hAnsi="Times New Roman" w:cs="Times New Roman"/>
      <w:color w:val="000000"/>
      <w:u w:val="single" w:color="000000"/>
    </w:rPr>
  </w:style>
  <w:style w:type="paragraph" w:styleId="Heading3">
    <w:name w:val="heading 3"/>
    <w:basedOn w:val="Normal"/>
    <w:link w:val="Heading3Char"/>
    <w:uiPriority w:val="9"/>
    <w:unhideWhenUsed/>
    <w:qFormat/>
    <w:rsid w:val="00F733DC"/>
    <w:pPr>
      <w:widowControl w:val="0"/>
      <w:autoSpaceDE w:val="0"/>
      <w:autoSpaceDN w:val="0"/>
      <w:spacing w:line="240" w:lineRule="auto"/>
      <w:ind w:left="920" w:hanging="388"/>
      <w:outlineLvl w:val="2"/>
    </w:pPr>
    <w:rPr>
      <w:rFonts w:ascii="Arial" w:eastAsia="Arial" w:hAnsi="Arial" w:cs="Arial"/>
      <w:b/>
      <w:bCs/>
      <w:i/>
      <w:iCs/>
      <w:color w:val="auto"/>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paragraph" w:styleId="Title">
    <w:name w:val="Title"/>
    <w:basedOn w:val="Normal"/>
    <w:link w:val="TitleChar"/>
    <w:uiPriority w:val="10"/>
    <w:qFormat/>
    <w:rsid w:val="00F733DC"/>
    <w:pPr>
      <w:widowControl w:val="0"/>
      <w:autoSpaceDE w:val="0"/>
      <w:autoSpaceDN w:val="0"/>
      <w:spacing w:line="820" w:lineRule="exact"/>
      <w:ind w:left="1351" w:right="616" w:hanging="496"/>
    </w:pPr>
    <w:rPr>
      <w:rFonts w:ascii="Arial" w:eastAsia="Arial" w:hAnsi="Arial" w:cs="Arial"/>
      <w:b/>
      <w:bCs/>
      <w:color w:val="auto"/>
      <w:kern w:val="0"/>
      <w:sz w:val="36"/>
      <w:szCs w:val="36"/>
      <w14:ligatures w14:val="none"/>
    </w:rPr>
  </w:style>
  <w:style w:type="character" w:customStyle="1" w:styleId="TitleChar">
    <w:name w:val="Title Char"/>
    <w:basedOn w:val="DefaultParagraphFont"/>
    <w:link w:val="Title"/>
    <w:uiPriority w:val="10"/>
    <w:rsid w:val="00F733DC"/>
    <w:rPr>
      <w:rFonts w:ascii="Arial" w:eastAsia="Arial" w:hAnsi="Arial" w:cs="Arial"/>
      <w:b/>
      <w:bCs/>
      <w:kern w:val="0"/>
      <w:sz w:val="36"/>
      <w:szCs w:val="36"/>
      <w14:ligatures w14:val="none"/>
    </w:rPr>
  </w:style>
  <w:style w:type="paragraph" w:styleId="Footer">
    <w:name w:val="footer"/>
    <w:basedOn w:val="Normal"/>
    <w:link w:val="FooterChar"/>
    <w:uiPriority w:val="99"/>
    <w:unhideWhenUsed/>
    <w:rsid w:val="00F733DC"/>
    <w:pPr>
      <w:tabs>
        <w:tab w:val="center" w:pos="4680"/>
        <w:tab w:val="right" w:pos="9360"/>
      </w:tabs>
      <w:spacing w:line="240" w:lineRule="auto"/>
    </w:pPr>
  </w:style>
  <w:style w:type="character" w:customStyle="1" w:styleId="FooterChar">
    <w:name w:val="Footer Char"/>
    <w:basedOn w:val="DefaultParagraphFont"/>
    <w:link w:val="Footer"/>
    <w:uiPriority w:val="99"/>
    <w:rsid w:val="00F733DC"/>
    <w:rPr>
      <w:rFonts w:ascii="Times New Roman" w:eastAsia="Times New Roman" w:hAnsi="Times New Roman" w:cs="Times New Roman"/>
      <w:color w:val="000000"/>
    </w:rPr>
  </w:style>
  <w:style w:type="paragraph" w:styleId="Header">
    <w:name w:val="header"/>
    <w:basedOn w:val="Normal"/>
    <w:link w:val="HeaderChar"/>
    <w:uiPriority w:val="99"/>
    <w:semiHidden/>
    <w:unhideWhenUsed/>
    <w:rsid w:val="00F733DC"/>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F733DC"/>
    <w:rPr>
      <w:rFonts w:ascii="Times New Roman" w:eastAsia="Times New Roman" w:hAnsi="Times New Roman" w:cs="Times New Roman"/>
      <w:color w:val="000000"/>
    </w:rPr>
  </w:style>
  <w:style w:type="character" w:customStyle="1" w:styleId="Heading3Char">
    <w:name w:val="Heading 3 Char"/>
    <w:basedOn w:val="DefaultParagraphFont"/>
    <w:link w:val="Heading3"/>
    <w:uiPriority w:val="9"/>
    <w:rsid w:val="00F733DC"/>
    <w:rPr>
      <w:rFonts w:ascii="Arial" w:eastAsia="Arial" w:hAnsi="Arial" w:cs="Arial"/>
      <w:b/>
      <w:bCs/>
      <w:i/>
      <w:iCs/>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law.cornell.edu/uscode/html/uscode31/usc_sup_01_31_08_III_10_35_20_II.html" TargetMode="External"/><Relationship Id="rId13" Type="http://schemas.openxmlformats.org/officeDocument/2006/relationships/hyperlink" Target="https://www.whitehouse.gov/omb/information-for-agencies/circulars/" TargetMode="External"/><Relationship Id="rId18" Type="http://schemas.openxmlformats.org/officeDocument/2006/relationships/hyperlink" Target="http://www.fasab.gov/accounting-standards/authoritative-source-of-gaap/accounting-standards/"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s://www.whitehouse.gov/omb/information-for-agencies/circulars/" TargetMode="External"/><Relationship Id="rId17" Type="http://schemas.openxmlformats.org/officeDocument/2006/relationships/hyperlink" Target="http://www.fasab.gov/accounting-standards/authoritative-source-of-gaap/accounting-standards/" TargetMode="External"/><Relationship Id="rId2" Type="http://schemas.openxmlformats.org/officeDocument/2006/relationships/styles" Target="styles.xml"/><Relationship Id="rId16" Type="http://schemas.openxmlformats.org/officeDocument/2006/relationships/hyperlink" Target="http://www.fasab.gov/accounting-standards/authoritative-source-of-gaap/accounting-standard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w.cornell.edu/uscode/html/uscode31/usc_sup_01_31_08_III_10_35_20_II.htm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fasab.gov/accounting-standards/authoritative-source-of-gaap/accounting-standards/" TargetMode="External"/><Relationship Id="rId23" Type="http://schemas.openxmlformats.org/officeDocument/2006/relationships/fontTable" Target="fontTable.xml"/><Relationship Id="rId10" Type="http://schemas.openxmlformats.org/officeDocument/2006/relationships/hyperlink" Target="http://www.law.cornell.edu/uscode/html/uscode31/usc_sup_01_31_08_III_10_35_20_II.html" TargetMode="External"/><Relationship Id="rId19" Type="http://schemas.openxmlformats.org/officeDocument/2006/relationships/hyperlink" Target="http://www.fasab.gov/accounting-standards/authoritative-source-of-gaap/accounting-standards/" TargetMode="External"/><Relationship Id="rId4" Type="http://schemas.openxmlformats.org/officeDocument/2006/relationships/webSettings" Target="webSettings.xml"/><Relationship Id="rId9" Type="http://schemas.openxmlformats.org/officeDocument/2006/relationships/hyperlink" Target="http://www.law.cornell.edu/uscode/html/uscode31/usc_sup_01_31_08_III_10_35_20_II.html" TargetMode="External"/><Relationship Id="rId14" Type="http://schemas.openxmlformats.org/officeDocument/2006/relationships/hyperlink" Target="http://www.fasab.gov/accounting-standards/authoritative-source-of-gaap/accounting-standards/"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982</Words>
  <Characters>5603</Characters>
  <Application>Microsoft Office Word</Application>
  <DocSecurity>0</DocSecurity>
  <Lines>46</Lines>
  <Paragraphs>13</Paragraphs>
  <ScaleCrop>false</ScaleCrop>
  <Company>U.S. Department of Commerce</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 Revised, TM A-02 (4/00)</dc:title>
  <dc:subject/>
  <dc:creator>CMoore</dc:creator>
  <cp:keywords/>
  <cp:lastModifiedBy>Finn, Sean (Intern)</cp:lastModifiedBy>
  <cp:revision>3</cp:revision>
  <dcterms:created xsi:type="dcterms:W3CDTF">2024-06-14T15:57:00Z</dcterms:created>
  <dcterms:modified xsi:type="dcterms:W3CDTF">2024-06-14T15:57:00Z</dcterms:modified>
</cp:coreProperties>
</file>