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D49CB" w14:textId="6931BA89" w:rsidR="00732BBE" w:rsidRPr="00FA2B78" w:rsidRDefault="00732BBE" w:rsidP="009C3C89">
      <w:pPr>
        <w:jc w:val="center"/>
        <w:rPr>
          <w:b/>
          <w:color w:val="161617"/>
          <w:sz w:val="22"/>
          <w:szCs w:val="22"/>
        </w:rPr>
      </w:pPr>
      <w:r w:rsidRPr="00FA2B78">
        <w:rPr>
          <w:b/>
          <w:color w:val="161617"/>
          <w:sz w:val="22"/>
          <w:szCs w:val="22"/>
        </w:rPr>
        <w:t>Department of Commerce FY</w:t>
      </w:r>
      <w:r w:rsidR="008F7C9D" w:rsidRPr="00FA2B78">
        <w:rPr>
          <w:b/>
          <w:color w:val="161617"/>
          <w:sz w:val="22"/>
          <w:szCs w:val="22"/>
        </w:rPr>
        <w:t>s</w:t>
      </w:r>
      <w:r w:rsidR="00025AAE" w:rsidRPr="00FA2B78">
        <w:rPr>
          <w:b/>
          <w:color w:val="161617"/>
          <w:sz w:val="22"/>
          <w:szCs w:val="22"/>
        </w:rPr>
        <w:t xml:space="preserve"> </w:t>
      </w:r>
      <w:r w:rsidR="00304D5E" w:rsidRPr="00FA2B78">
        <w:rPr>
          <w:b/>
          <w:color w:val="161617"/>
          <w:sz w:val="22"/>
          <w:szCs w:val="22"/>
        </w:rPr>
        <w:t>202</w:t>
      </w:r>
      <w:r w:rsidR="00D06AA9">
        <w:rPr>
          <w:b/>
          <w:color w:val="161617"/>
          <w:sz w:val="22"/>
          <w:szCs w:val="22"/>
        </w:rPr>
        <w:t>4</w:t>
      </w:r>
      <w:r w:rsidR="00304D5E" w:rsidRPr="00FA2B78">
        <w:rPr>
          <w:b/>
          <w:color w:val="161617"/>
          <w:sz w:val="22"/>
          <w:szCs w:val="22"/>
        </w:rPr>
        <w:t>/202</w:t>
      </w:r>
      <w:r w:rsidR="00D06AA9">
        <w:rPr>
          <w:b/>
          <w:color w:val="161617"/>
          <w:sz w:val="22"/>
          <w:szCs w:val="22"/>
        </w:rPr>
        <w:t>5</w:t>
      </w:r>
      <w:r w:rsidR="00F10D83" w:rsidRPr="00FA2B78">
        <w:rPr>
          <w:b/>
          <w:color w:val="161617"/>
          <w:sz w:val="22"/>
          <w:szCs w:val="22"/>
        </w:rPr>
        <w:t xml:space="preserve"> </w:t>
      </w:r>
      <w:r w:rsidRPr="00FA2B78">
        <w:rPr>
          <w:b/>
          <w:color w:val="161617"/>
          <w:sz w:val="22"/>
          <w:szCs w:val="22"/>
        </w:rPr>
        <w:t xml:space="preserve">Financial Statements Guidance </w:t>
      </w:r>
      <w:r w:rsidR="009C3C89">
        <w:rPr>
          <w:b/>
          <w:color w:val="161617"/>
          <w:sz w:val="22"/>
          <w:szCs w:val="22"/>
        </w:rPr>
        <w:t xml:space="preserve"> </w:t>
      </w:r>
    </w:p>
    <w:p w14:paraId="2174D693" w14:textId="5405A71C" w:rsidR="00732BBE" w:rsidRPr="00FA2B78" w:rsidRDefault="00732BBE" w:rsidP="009C3C89">
      <w:pPr>
        <w:jc w:val="center"/>
        <w:rPr>
          <w:color w:val="161617"/>
          <w:sz w:val="22"/>
          <w:szCs w:val="22"/>
        </w:rPr>
      </w:pPr>
      <w:r w:rsidRPr="00FA2B78">
        <w:rPr>
          <w:b/>
          <w:color w:val="161617"/>
          <w:sz w:val="22"/>
          <w:szCs w:val="22"/>
        </w:rPr>
        <w:t>Management Representation Letters, Legal Letters, and Unasserted Claims</w:t>
      </w:r>
      <w:r w:rsidR="009C3C89">
        <w:rPr>
          <w:b/>
          <w:color w:val="161617"/>
          <w:sz w:val="22"/>
          <w:szCs w:val="22"/>
        </w:rPr>
        <w:t xml:space="preserve">  </w:t>
      </w:r>
    </w:p>
    <w:p w14:paraId="1A589979" w14:textId="77777777" w:rsidR="00732BBE" w:rsidRPr="00FA2B78" w:rsidRDefault="00732BBE" w:rsidP="009C3C89">
      <w:pPr>
        <w:rPr>
          <w:color w:val="161617"/>
          <w:sz w:val="22"/>
          <w:szCs w:val="22"/>
        </w:rPr>
      </w:pPr>
    </w:p>
    <w:p w14:paraId="54048927" w14:textId="3056A4E8" w:rsidR="00732BBE" w:rsidRPr="00FA2B78" w:rsidRDefault="00732BBE" w:rsidP="009C3C89">
      <w:pPr>
        <w:pStyle w:val="Heading4"/>
        <w:spacing w:before="0" w:after="0"/>
        <w:rPr>
          <w:rFonts w:ascii="Times New Roman" w:hAnsi="Times New Roman"/>
          <w:sz w:val="22"/>
          <w:szCs w:val="22"/>
        </w:rPr>
      </w:pPr>
      <w:r w:rsidRPr="00FA2B78">
        <w:rPr>
          <w:rFonts w:ascii="Times New Roman" w:hAnsi="Times New Roman"/>
          <w:sz w:val="22"/>
          <w:szCs w:val="22"/>
        </w:rPr>
        <w:t>I. Purpose</w:t>
      </w:r>
    </w:p>
    <w:p w14:paraId="4D0E80F9" w14:textId="77777777" w:rsidR="00732BBE" w:rsidRPr="00FA2B78" w:rsidRDefault="00732BBE" w:rsidP="009C3C89">
      <w:pPr>
        <w:widowControl/>
        <w:rPr>
          <w:b/>
          <w:color w:val="161617"/>
          <w:sz w:val="22"/>
          <w:szCs w:val="22"/>
        </w:rPr>
      </w:pPr>
    </w:p>
    <w:p w14:paraId="4076A833" w14:textId="21ADA476" w:rsidR="00732BBE" w:rsidRPr="00FA2B78" w:rsidRDefault="00732BBE" w:rsidP="009C3C89">
      <w:pPr>
        <w:pStyle w:val="Default"/>
        <w:rPr>
          <w:i/>
          <w:iCs/>
          <w:color w:val="161617"/>
          <w:sz w:val="22"/>
          <w:szCs w:val="22"/>
        </w:rPr>
      </w:pPr>
      <w:r w:rsidRPr="00FA2B78">
        <w:rPr>
          <w:color w:val="161617"/>
          <w:sz w:val="22"/>
          <w:szCs w:val="22"/>
        </w:rPr>
        <w:t>This attachment establishes instructions and</w:t>
      </w:r>
      <w:r w:rsidR="00B72F8D" w:rsidRPr="00FA2B78">
        <w:rPr>
          <w:color w:val="161617"/>
          <w:sz w:val="22"/>
          <w:szCs w:val="22"/>
        </w:rPr>
        <w:t xml:space="preserve"> guidance to reporting entities</w:t>
      </w:r>
      <w:r w:rsidRPr="00FA2B78">
        <w:rPr>
          <w:color w:val="161617"/>
          <w:sz w:val="22"/>
          <w:szCs w:val="22"/>
        </w:rPr>
        <w:t xml:space="preserve"> (hereinafter referred to as bureaus)</w:t>
      </w:r>
      <w:r w:rsidR="007679D4" w:rsidRPr="00FA2B78">
        <w:rPr>
          <w:color w:val="161617"/>
          <w:sz w:val="22"/>
          <w:szCs w:val="22"/>
        </w:rPr>
        <w:t>,</w:t>
      </w:r>
      <w:r w:rsidRPr="00FA2B78">
        <w:rPr>
          <w:color w:val="161617"/>
          <w:sz w:val="22"/>
          <w:szCs w:val="22"/>
        </w:rPr>
        <w:t xml:space="preserve"> </w:t>
      </w:r>
      <w:r w:rsidR="00B72F8D" w:rsidRPr="00FA2B78">
        <w:rPr>
          <w:color w:val="161617"/>
          <w:sz w:val="22"/>
          <w:szCs w:val="22"/>
        </w:rPr>
        <w:t xml:space="preserve">regarding written representations that our independent auditors obtain </w:t>
      </w:r>
      <w:r w:rsidRPr="00FA2B78">
        <w:rPr>
          <w:color w:val="161617"/>
          <w:sz w:val="22"/>
          <w:szCs w:val="22"/>
        </w:rPr>
        <w:t>from management as part of the bureau’s financial statements audit</w:t>
      </w:r>
      <w:r w:rsidR="00A649B4" w:rsidRPr="00FA2B78">
        <w:rPr>
          <w:color w:val="161617"/>
          <w:sz w:val="22"/>
          <w:szCs w:val="22"/>
        </w:rPr>
        <w:t>, which is</w:t>
      </w:r>
      <w:r w:rsidRPr="00FA2B78">
        <w:rPr>
          <w:color w:val="161617"/>
          <w:sz w:val="22"/>
          <w:szCs w:val="22"/>
        </w:rPr>
        <w:t xml:space="preserve"> performed in </w:t>
      </w:r>
      <w:r w:rsidR="00C80FA3" w:rsidRPr="00FA2B78">
        <w:rPr>
          <w:color w:val="161617"/>
          <w:sz w:val="22"/>
          <w:szCs w:val="22"/>
        </w:rPr>
        <w:t xml:space="preserve">accordance with </w:t>
      </w:r>
      <w:r w:rsidR="00FA2B78" w:rsidRPr="00FA2B78">
        <w:rPr>
          <w:color w:val="161617"/>
          <w:sz w:val="22"/>
          <w:szCs w:val="22"/>
        </w:rPr>
        <w:t xml:space="preserve">U.S.  </w:t>
      </w:r>
      <w:r w:rsidR="00C80FA3" w:rsidRPr="00FA2B78">
        <w:rPr>
          <w:color w:val="161617"/>
          <w:sz w:val="22"/>
          <w:szCs w:val="22"/>
        </w:rPr>
        <w:t>Generally A</w:t>
      </w:r>
      <w:r w:rsidRPr="00FA2B78">
        <w:rPr>
          <w:color w:val="161617"/>
          <w:sz w:val="22"/>
          <w:szCs w:val="22"/>
        </w:rPr>
        <w:t xml:space="preserve">ccepted </w:t>
      </w:r>
      <w:r w:rsidR="00C80FA3" w:rsidRPr="00FA2B78">
        <w:rPr>
          <w:color w:val="161617"/>
          <w:sz w:val="22"/>
          <w:szCs w:val="22"/>
        </w:rPr>
        <w:t>Government A</w:t>
      </w:r>
      <w:r w:rsidRPr="00FA2B78">
        <w:rPr>
          <w:color w:val="161617"/>
          <w:sz w:val="22"/>
          <w:szCs w:val="22"/>
        </w:rPr>
        <w:t xml:space="preserve">uditing </w:t>
      </w:r>
      <w:r w:rsidR="00C80FA3" w:rsidRPr="00FA2B78">
        <w:rPr>
          <w:color w:val="161617"/>
          <w:sz w:val="22"/>
          <w:szCs w:val="22"/>
        </w:rPr>
        <w:t>S</w:t>
      </w:r>
      <w:r w:rsidRPr="00FA2B78">
        <w:rPr>
          <w:color w:val="161617"/>
          <w:sz w:val="22"/>
          <w:szCs w:val="22"/>
        </w:rPr>
        <w:t xml:space="preserve">tandards (GAGAS) and </w:t>
      </w:r>
      <w:r w:rsidR="007233AD" w:rsidRPr="00FA2B78">
        <w:rPr>
          <w:iCs/>
          <w:sz w:val="22"/>
          <w:szCs w:val="22"/>
        </w:rPr>
        <w:t xml:space="preserve">OMB </w:t>
      </w:r>
      <w:hyperlink r:id="rId8" w:history="1">
        <w:r w:rsidR="007233AD" w:rsidRPr="002B56C3">
          <w:rPr>
            <w:rStyle w:val="Hyperlink"/>
            <w:iCs/>
            <w:color w:val="0000FF"/>
            <w:sz w:val="22"/>
            <w:szCs w:val="22"/>
            <w:u w:val="single"/>
          </w:rPr>
          <w:t>Bulletin</w:t>
        </w:r>
      </w:hyperlink>
      <w:r w:rsidR="007233AD" w:rsidRPr="00FA2B78">
        <w:rPr>
          <w:iCs/>
          <w:color w:val="000000" w:themeColor="text1"/>
          <w:sz w:val="22"/>
          <w:szCs w:val="22"/>
        </w:rPr>
        <w:t xml:space="preserve"> </w:t>
      </w:r>
      <w:r w:rsidR="007233AD" w:rsidRPr="00FA2B78">
        <w:rPr>
          <w:iCs/>
          <w:sz w:val="22"/>
          <w:szCs w:val="22"/>
        </w:rPr>
        <w:t xml:space="preserve">No. </w:t>
      </w:r>
      <w:r w:rsidR="00F36271">
        <w:rPr>
          <w:iCs/>
          <w:sz w:val="22"/>
          <w:szCs w:val="22"/>
        </w:rPr>
        <w:t>24-</w:t>
      </w:r>
      <w:r w:rsidR="009D69A1">
        <w:rPr>
          <w:iCs/>
          <w:sz w:val="22"/>
          <w:szCs w:val="22"/>
        </w:rPr>
        <w:t>02</w:t>
      </w:r>
      <w:r w:rsidR="007E01A8" w:rsidRPr="00FA2B78">
        <w:rPr>
          <w:iCs/>
          <w:sz w:val="22"/>
          <w:szCs w:val="22"/>
        </w:rPr>
        <w:t>,</w:t>
      </w:r>
      <w:r w:rsidR="007E01A8" w:rsidRPr="00FA2B78">
        <w:rPr>
          <w:i/>
          <w:sz w:val="22"/>
          <w:szCs w:val="22"/>
        </w:rPr>
        <w:t xml:space="preserve"> Audit Requirements for Federal Financial Statements</w:t>
      </w:r>
      <w:r w:rsidR="006015C8" w:rsidRPr="00FA2B78">
        <w:rPr>
          <w:iCs/>
          <w:sz w:val="22"/>
          <w:szCs w:val="22"/>
        </w:rPr>
        <w:t xml:space="preserve"> </w:t>
      </w:r>
      <w:r w:rsidR="008F227C" w:rsidRPr="00FA2B78">
        <w:rPr>
          <w:iCs/>
          <w:sz w:val="22"/>
          <w:szCs w:val="22"/>
        </w:rPr>
        <w:t>(</w:t>
      </w:r>
      <w:r w:rsidR="009D69A1">
        <w:rPr>
          <w:iCs/>
          <w:sz w:val="22"/>
          <w:szCs w:val="22"/>
        </w:rPr>
        <w:t>July 31, 2024</w:t>
      </w:r>
      <w:r w:rsidR="008F227C" w:rsidRPr="00FA2B78">
        <w:rPr>
          <w:iCs/>
          <w:sz w:val="22"/>
          <w:szCs w:val="22"/>
        </w:rPr>
        <w:t>)</w:t>
      </w:r>
      <w:r w:rsidR="006C327E" w:rsidRPr="00FA2B78">
        <w:rPr>
          <w:i/>
          <w:sz w:val="22"/>
          <w:szCs w:val="22"/>
        </w:rPr>
        <w:t>.</w:t>
      </w:r>
    </w:p>
    <w:p w14:paraId="231F7AE8" w14:textId="77777777" w:rsidR="00732BBE" w:rsidRPr="00A241CC" w:rsidRDefault="00732BBE" w:rsidP="009C3C89">
      <w:pPr>
        <w:widowControl/>
        <w:rPr>
          <w:color w:val="161617"/>
          <w:sz w:val="22"/>
          <w:szCs w:val="22"/>
        </w:rPr>
      </w:pPr>
    </w:p>
    <w:p w14:paraId="09BAC99C" w14:textId="77777777" w:rsidR="00732BBE" w:rsidRPr="00FA2B78" w:rsidRDefault="00732BBE" w:rsidP="009C3C89">
      <w:pPr>
        <w:pStyle w:val="Heading4"/>
        <w:spacing w:before="0" w:after="0"/>
        <w:rPr>
          <w:rFonts w:ascii="Times New Roman" w:hAnsi="Times New Roman"/>
          <w:sz w:val="22"/>
          <w:szCs w:val="22"/>
        </w:rPr>
      </w:pPr>
      <w:r w:rsidRPr="00FA2B78">
        <w:rPr>
          <w:rFonts w:ascii="Times New Roman" w:hAnsi="Times New Roman"/>
          <w:sz w:val="22"/>
          <w:szCs w:val="22"/>
        </w:rPr>
        <w:t>II</w:t>
      </w:r>
      <w:r w:rsidR="00C71457" w:rsidRPr="00FA2B78">
        <w:rPr>
          <w:rFonts w:ascii="Times New Roman" w:hAnsi="Times New Roman"/>
          <w:sz w:val="22"/>
          <w:szCs w:val="22"/>
        </w:rPr>
        <w:t>. Management</w:t>
      </w:r>
      <w:r w:rsidRPr="00FA2B78">
        <w:rPr>
          <w:rFonts w:ascii="Times New Roman" w:hAnsi="Times New Roman"/>
          <w:sz w:val="22"/>
          <w:szCs w:val="22"/>
        </w:rPr>
        <w:t xml:space="preserve"> Representation Letters</w:t>
      </w:r>
    </w:p>
    <w:p w14:paraId="5DD52968" w14:textId="77777777" w:rsidR="00732BBE" w:rsidRPr="00FA2B78" w:rsidRDefault="00732BBE" w:rsidP="009C3C89">
      <w:pPr>
        <w:tabs>
          <w:tab w:val="left" w:pos="-1440"/>
        </w:tabs>
        <w:ind w:left="360"/>
        <w:rPr>
          <w:b/>
          <w:bCs/>
          <w:color w:val="161617"/>
          <w:sz w:val="22"/>
          <w:szCs w:val="22"/>
        </w:rPr>
      </w:pPr>
    </w:p>
    <w:p w14:paraId="55A25C69" w14:textId="799A62CC" w:rsidR="00732BBE" w:rsidRPr="00FA2B78" w:rsidRDefault="006015C8" w:rsidP="009C3C89">
      <w:pPr>
        <w:pStyle w:val="Default"/>
        <w:ind w:right="80"/>
        <w:rPr>
          <w:color w:val="161617"/>
          <w:sz w:val="22"/>
          <w:szCs w:val="22"/>
        </w:rPr>
      </w:pPr>
      <w:r w:rsidRPr="00FA2B78">
        <w:rPr>
          <w:color w:val="161617"/>
          <w:sz w:val="22"/>
          <w:szCs w:val="22"/>
        </w:rPr>
        <w:t>The OMB B</w:t>
      </w:r>
      <w:r w:rsidR="00732BBE" w:rsidRPr="00FA2B78">
        <w:rPr>
          <w:color w:val="161617"/>
          <w:sz w:val="22"/>
          <w:szCs w:val="22"/>
        </w:rPr>
        <w:t xml:space="preserve">ulletin </w:t>
      </w:r>
      <w:r w:rsidR="00895B11">
        <w:rPr>
          <w:sz w:val="22"/>
          <w:szCs w:val="22"/>
        </w:rPr>
        <w:t>24-0</w:t>
      </w:r>
      <w:r w:rsidR="009D69A1">
        <w:rPr>
          <w:sz w:val="22"/>
          <w:szCs w:val="22"/>
        </w:rPr>
        <w:t>2</w:t>
      </w:r>
      <w:r w:rsidR="000D5B6F" w:rsidRPr="00FA2B78">
        <w:rPr>
          <w:sz w:val="22"/>
          <w:szCs w:val="22"/>
        </w:rPr>
        <w:t>,</w:t>
      </w:r>
      <w:r w:rsidR="007233AD" w:rsidRPr="00FA2B78">
        <w:rPr>
          <w:sz w:val="22"/>
          <w:szCs w:val="22"/>
        </w:rPr>
        <w:t xml:space="preserve"> </w:t>
      </w:r>
      <w:r w:rsidR="00445195" w:rsidRPr="00FA2B78">
        <w:rPr>
          <w:color w:val="161617"/>
          <w:sz w:val="22"/>
          <w:szCs w:val="22"/>
        </w:rPr>
        <w:t>Section</w:t>
      </w:r>
      <w:r w:rsidR="00664C5F" w:rsidRPr="00FA2B78">
        <w:rPr>
          <w:color w:val="161617"/>
          <w:sz w:val="22"/>
          <w:szCs w:val="22"/>
        </w:rPr>
        <w:t xml:space="preserve"> 8</w:t>
      </w:r>
      <w:r w:rsidR="00EA1DC4" w:rsidRPr="00FA2B78">
        <w:rPr>
          <w:color w:val="161617"/>
          <w:sz w:val="22"/>
          <w:szCs w:val="22"/>
        </w:rPr>
        <w:t xml:space="preserve">, </w:t>
      </w:r>
      <w:r w:rsidR="00EA1DC4" w:rsidRPr="00FA2B78">
        <w:rPr>
          <w:i/>
          <w:iCs/>
          <w:color w:val="161617"/>
          <w:sz w:val="22"/>
          <w:szCs w:val="22"/>
        </w:rPr>
        <w:t>Written Representations from Management,</w:t>
      </w:r>
      <w:r w:rsidR="00664C5F" w:rsidRPr="00FA2B78">
        <w:rPr>
          <w:i/>
          <w:iCs/>
          <w:color w:val="161617"/>
          <w:sz w:val="22"/>
          <w:szCs w:val="22"/>
        </w:rPr>
        <w:t xml:space="preserve"> </w:t>
      </w:r>
      <w:r w:rsidR="00732BBE" w:rsidRPr="00FA2B78">
        <w:rPr>
          <w:color w:val="161617"/>
          <w:sz w:val="22"/>
          <w:szCs w:val="22"/>
        </w:rPr>
        <w:t xml:space="preserve">requires that the auditor </w:t>
      </w:r>
      <w:r w:rsidR="00732BBE" w:rsidRPr="00FA2B78">
        <w:rPr>
          <w:iCs/>
          <w:color w:val="161617"/>
          <w:sz w:val="22"/>
          <w:szCs w:val="22"/>
        </w:rPr>
        <w:t>obtain</w:t>
      </w:r>
      <w:r w:rsidR="00732BBE" w:rsidRPr="00FA2B78">
        <w:rPr>
          <w:color w:val="161617"/>
          <w:sz w:val="22"/>
          <w:szCs w:val="22"/>
        </w:rPr>
        <w:t xml:space="preserve"> written representation from management as part of </w:t>
      </w:r>
      <w:r w:rsidR="0077157F" w:rsidRPr="00FA2B78">
        <w:rPr>
          <w:color w:val="161617"/>
          <w:sz w:val="22"/>
          <w:szCs w:val="22"/>
        </w:rPr>
        <w:t>the</w:t>
      </w:r>
      <w:r w:rsidR="00732BBE" w:rsidRPr="00FA2B78">
        <w:rPr>
          <w:color w:val="161617"/>
          <w:sz w:val="22"/>
          <w:szCs w:val="22"/>
        </w:rPr>
        <w:t xml:space="preserve"> audit </w:t>
      </w:r>
      <w:r w:rsidR="0077157F" w:rsidRPr="00FA2B78">
        <w:rPr>
          <w:color w:val="161617"/>
          <w:sz w:val="22"/>
          <w:szCs w:val="22"/>
        </w:rPr>
        <w:t>engagement</w:t>
      </w:r>
      <w:r w:rsidR="00732BBE" w:rsidRPr="00FA2B78">
        <w:rPr>
          <w:color w:val="161617"/>
          <w:sz w:val="22"/>
          <w:szCs w:val="22"/>
        </w:rPr>
        <w:t>.</w:t>
      </w:r>
      <w:r w:rsidR="00F96A58" w:rsidRPr="00FA2B78">
        <w:rPr>
          <w:color w:val="161617"/>
          <w:sz w:val="22"/>
          <w:szCs w:val="22"/>
        </w:rPr>
        <w:t xml:space="preserve"> </w:t>
      </w:r>
      <w:r w:rsidR="00732BBE" w:rsidRPr="00FA2B78">
        <w:rPr>
          <w:color w:val="161617"/>
          <w:sz w:val="22"/>
          <w:szCs w:val="22"/>
        </w:rPr>
        <w:t xml:space="preserve"> The American Institute of Certified Public </w:t>
      </w:r>
      <w:r w:rsidR="001F5D51" w:rsidRPr="00FA2B78">
        <w:rPr>
          <w:color w:val="161617"/>
          <w:sz w:val="22"/>
          <w:szCs w:val="22"/>
        </w:rPr>
        <w:t>Accountants</w:t>
      </w:r>
      <w:r w:rsidR="00AB25EC" w:rsidRPr="00FA2B78">
        <w:rPr>
          <w:color w:val="161617"/>
          <w:sz w:val="22"/>
          <w:szCs w:val="22"/>
        </w:rPr>
        <w:t xml:space="preserve"> (AICPA)</w:t>
      </w:r>
      <w:r w:rsidR="00732BBE" w:rsidRPr="00FA2B78">
        <w:rPr>
          <w:color w:val="161617"/>
          <w:sz w:val="22"/>
          <w:szCs w:val="22"/>
        </w:rPr>
        <w:t xml:space="preserve"> </w:t>
      </w:r>
      <w:r w:rsidR="00AB25EC" w:rsidRPr="00FA2B78">
        <w:rPr>
          <w:color w:val="161617"/>
          <w:sz w:val="22"/>
          <w:szCs w:val="22"/>
        </w:rPr>
        <w:t xml:space="preserve">professional standards </w:t>
      </w:r>
      <w:r w:rsidR="00732BBE" w:rsidRPr="00FA2B78">
        <w:rPr>
          <w:color w:val="161617"/>
          <w:sz w:val="22"/>
          <w:szCs w:val="22"/>
        </w:rPr>
        <w:t>AU</w:t>
      </w:r>
      <w:r w:rsidR="00696CD6" w:rsidRPr="00FA2B78">
        <w:rPr>
          <w:color w:val="161617"/>
          <w:sz w:val="22"/>
          <w:szCs w:val="22"/>
        </w:rPr>
        <w:t>-C</w:t>
      </w:r>
      <w:r w:rsidR="00732BBE" w:rsidRPr="00FA2B78">
        <w:rPr>
          <w:i/>
          <w:iCs/>
          <w:color w:val="161617"/>
          <w:sz w:val="22"/>
          <w:szCs w:val="22"/>
        </w:rPr>
        <w:t xml:space="preserve"> </w:t>
      </w:r>
      <w:r w:rsidR="00732BBE" w:rsidRPr="00FA2B78">
        <w:rPr>
          <w:iCs/>
          <w:color w:val="161617"/>
          <w:sz w:val="22"/>
          <w:szCs w:val="22"/>
        </w:rPr>
        <w:t xml:space="preserve">Section </w:t>
      </w:r>
      <w:r w:rsidR="004D79C0" w:rsidRPr="00FA2B78">
        <w:rPr>
          <w:color w:val="161617"/>
          <w:sz w:val="22"/>
          <w:szCs w:val="22"/>
        </w:rPr>
        <w:t>580</w:t>
      </w:r>
      <w:r w:rsidR="00732BBE" w:rsidRPr="00FA2B78">
        <w:rPr>
          <w:i/>
          <w:iCs/>
          <w:color w:val="161617"/>
          <w:sz w:val="22"/>
          <w:szCs w:val="22"/>
        </w:rPr>
        <w:t xml:space="preserve">, </w:t>
      </w:r>
      <w:r w:rsidR="00732BBE" w:rsidRPr="00FA2B78">
        <w:rPr>
          <w:iCs/>
          <w:color w:val="161617"/>
          <w:sz w:val="22"/>
          <w:szCs w:val="22"/>
        </w:rPr>
        <w:t>of the</w:t>
      </w:r>
      <w:r w:rsidR="00732BBE" w:rsidRPr="00FA2B78">
        <w:rPr>
          <w:i/>
          <w:iCs/>
          <w:color w:val="161617"/>
          <w:sz w:val="22"/>
          <w:szCs w:val="22"/>
        </w:rPr>
        <w:t xml:space="preserve"> Codification of Statements on Auditing Standards</w:t>
      </w:r>
      <w:r w:rsidR="00732BBE" w:rsidRPr="00FA2B78">
        <w:rPr>
          <w:color w:val="161617"/>
          <w:sz w:val="22"/>
          <w:szCs w:val="22"/>
        </w:rPr>
        <w:t xml:space="preserve"> indicates that the management letter is necessary to</w:t>
      </w:r>
      <w:r w:rsidR="00462CF1" w:rsidRPr="00FA2B78">
        <w:rPr>
          <w:color w:val="161617"/>
          <w:sz w:val="22"/>
          <w:szCs w:val="22"/>
        </w:rPr>
        <w:t>:</w:t>
      </w:r>
      <w:r w:rsidR="00F96A58" w:rsidRPr="00FA2B78">
        <w:rPr>
          <w:color w:val="161617"/>
          <w:sz w:val="22"/>
          <w:szCs w:val="22"/>
        </w:rPr>
        <w:t xml:space="preserve"> (1)</w:t>
      </w:r>
      <w:r w:rsidR="00732BBE" w:rsidRPr="00FA2B78">
        <w:rPr>
          <w:color w:val="161617"/>
          <w:sz w:val="22"/>
          <w:szCs w:val="22"/>
        </w:rPr>
        <w:t xml:space="preserve"> confirm representations explicitly or implicitly given to the auditor, </w:t>
      </w:r>
      <w:r w:rsidR="00F96A58" w:rsidRPr="00FA2B78">
        <w:rPr>
          <w:color w:val="161617"/>
          <w:sz w:val="22"/>
          <w:szCs w:val="22"/>
        </w:rPr>
        <w:t xml:space="preserve">(2) </w:t>
      </w:r>
      <w:r w:rsidR="00732BBE" w:rsidRPr="00FA2B78">
        <w:rPr>
          <w:color w:val="161617"/>
          <w:sz w:val="22"/>
          <w:szCs w:val="22"/>
        </w:rPr>
        <w:t xml:space="preserve">indicate and document the continuing appropriateness of such representations, and </w:t>
      </w:r>
      <w:r w:rsidR="00F96A58" w:rsidRPr="00FA2B78">
        <w:rPr>
          <w:color w:val="161617"/>
          <w:sz w:val="22"/>
          <w:szCs w:val="22"/>
        </w:rPr>
        <w:t xml:space="preserve">(3) </w:t>
      </w:r>
      <w:r w:rsidR="00732BBE" w:rsidRPr="00FA2B78">
        <w:rPr>
          <w:color w:val="161617"/>
          <w:sz w:val="22"/>
          <w:szCs w:val="22"/>
        </w:rPr>
        <w:t>reduce the possibility of misunderstanding concerning the matter</w:t>
      </w:r>
      <w:r w:rsidR="00B72F8D" w:rsidRPr="00FA2B78">
        <w:rPr>
          <w:color w:val="161617"/>
          <w:sz w:val="22"/>
          <w:szCs w:val="22"/>
        </w:rPr>
        <w:t>s</w:t>
      </w:r>
      <w:r w:rsidR="00732BBE" w:rsidRPr="00FA2B78">
        <w:rPr>
          <w:color w:val="161617"/>
          <w:sz w:val="22"/>
          <w:szCs w:val="22"/>
        </w:rPr>
        <w:t xml:space="preserve"> that are the subject of the representations.</w:t>
      </w:r>
      <w:r w:rsidR="00F96A58" w:rsidRPr="00FA2B78">
        <w:rPr>
          <w:color w:val="161617"/>
          <w:sz w:val="22"/>
          <w:szCs w:val="22"/>
        </w:rPr>
        <w:t xml:space="preserve"> </w:t>
      </w:r>
      <w:r w:rsidR="00732BBE" w:rsidRPr="00FA2B78">
        <w:rPr>
          <w:color w:val="161617"/>
          <w:sz w:val="22"/>
          <w:szCs w:val="22"/>
        </w:rPr>
        <w:t xml:space="preserve"> In addition to the standard representations included in AU</w:t>
      </w:r>
      <w:r w:rsidR="00AB25EC" w:rsidRPr="00FA2B78">
        <w:rPr>
          <w:color w:val="161617"/>
          <w:sz w:val="22"/>
          <w:szCs w:val="22"/>
        </w:rPr>
        <w:t>-C</w:t>
      </w:r>
      <w:r w:rsidR="00732BBE" w:rsidRPr="00FA2B78">
        <w:rPr>
          <w:color w:val="161617"/>
          <w:sz w:val="22"/>
          <w:szCs w:val="22"/>
        </w:rPr>
        <w:t xml:space="preserve"> §</w:t>
      </w:r>
      <w:r w:rsidR="004D79C0" w:rsidRPr="00FA2B78">
        <w:rPr>
          <w:color w:val="161617"/>
          <w:sz w:val="22"/>
          <w:szCs w:val="22"/>
        </w:rPr>
        <w:t>580</w:t>
      </w:r>
      <w:r w:rsidRPr="00FA2B78">
        <w:rPr>
          <w:color w:val="161617"/>
          <w:sz w:val="22"/>
          <w:szCs w:val="22"/>
        </w:rPr>
        <w:t>, OMB B</w:t>
      </w:r>
      <w:r w:rsidR="00732BBE" w:rsidRPr="00FA2B78">
        <w:rPr>
          <w:color w:val="161617"/>
          <w:sz w:val="22"/>
          <w:szCs w:val="22"/>
        </w:rPr>
        <w:t xml:space="preserve">ulletin </w:t>
      </w:r>
      <w:r w:rsidR="00934B38">
        <w:rPr>
          <w:color w:val="161617"/>
          <w:sz w:val="22"/>
          <w:szCs w:val="22"/>
        </w:rPr>
        <w:t>24-01</w:t>
      </w:r>
      <w:r w:rsidR="008F227C" w:rsidRPr="00FA2B78">
        <w:rPr>
          <w:color w:val="161617"/>
          <w:sz w:val="22"/>
          <w:szCs w:val="22"/>
        </w:rPr>
        <w:t xml:space="preserve"> </w:t>
      </w:r>
      <w:r w:rsidR="00732BBE" w:rsidRPr="00FA2B78">
        <w:rPr>
          <w:color w:val="161617"/>
          <w:sz w:val="22"/>
          <w:szCs w:val="22"/>
        </w:rPr>
        <w:t xml:space="preserve">requires additional representations that are unique to the Federal Government. </w:t>
      </w:r>
    </w:p>
    <w:p w14:paraId="50C01BFC" w14:textId="77777777" w:rsidR="00732BBE" w:rsidRPr="00FA2B78" w:rsidRDefault="00732BBE" w:rsidP="009C3C89">
      <w:pPr>
        <w:rPr>
          <w:color w:val="161617"/>
          <w:sz w:val="22"/>
          <w:szCs w:val="22"/>
        </w:rPr>
      </w:pPr>
    </w:p>
    <w:p w14:paraId="74FE6557" w14:textId="77777777" w:rsidR="00732BBE" w:rsidRPr="00FA2B78" w:rsidRDefault="00732BBE" w:rsidP="009C3C89">
      <w:pPr>
        <w:rPr>
          <w:color w:val="161617"/>
          <w:sz w:val="22"/>
          <w:szCs w:val="22"/>
        </w:rPr>
      </w:pPr>
      <w:r w:rsidRPr="00FA2B78">
        <w:rPr>
          <w:color w:val="161617"/>
          <w:sz w:val="22"/>
          <w:szCs w:val="22"/>
        </w:rPr>
        <w:t xml:space="preserve">The auditor obtains written representations from management to complement other auditing procedures.   </w:t>
      </w:r>
    </w:p>
    <w:p w14:paraId="5E82AFCB" w14:textId="20935E72" w:rsidR="00732BBE" w:rsidRPr="00FA2B78" w:rsidRDefault="00732BBE" w:rsidP="009C3C89">
      <w:pPr>
        <w:rPr>
          <w:color w:val="161617"/>
          <w:sz w:val="22"/>
          <w:szCs w:val="22"/>
        </w:rPr>
      </w:pPr>
      <w:r w:rsidRPr="00FA2B78">
        <w:rPr>
          <w:color w:val="161617"/>
          <w:sz w:val="22"/>
          <w:szCs w:val="22"/>
        </w:rPr>
        <w:t>Members of management</w:t>
      </w:r>
      <w:r w:rsidR="00186AD5" w:rsidRPr="00FA2B78">
        <w:rPr>
          <w:color w:val="161617"/>
          <w:sz w:val="22"/>
          <w:szCs w:val="22"/>
        </w:rPr>
        <w:t>,</w:t>
      </w:r>
      <w:r w:rsidRPr="00FA2B78">
        <w:rPr>
          <w:color w:val="161617"/>
          <w:sz w:val="22"/>
          <w:szCs w:val="22"/>
        </w:rPr>
        <w:t xml:space="preserve"> who are responsible for and </w:t>
      </w:r>
      <w:r w:rsidR="00186AD5" w:rsidRPr="00FA2B78">
        <w:rPr>
          <w:color w:val="161617"/>
          <w:sz w:val="22"/>
          <w:szCs w:val="22"/>
        </w:rPr>
        <w:t xml:space="preserve">have </w:t>
      </w:r>
      <w:r w:rsidRPr="00FA2B78">
        <w:rPr>
          <w:color w:val="161617"/>
          <w:sz w:val="22"/>
          <w:szCs w:val="22"/>
        </w:rPr>
        <w:t>knowledge, directly or through others,</w:t>
      </w:r>
      <w:r w:rsidR="00C93F0F" w:rsidRPr="00FA2B78">
        <w:rPr>
          <w:color w:val="161617"/>
          <w:sz w:val="22"/>
          <w:szCs w:val="22"/>
        </w:rPr>
        <w:t xml:space="preserve"> of</w:t>
      </w:r>
      <w:r w:rsidRPr="00FA2B78">
        <w:rPr>
          <w:color w:val="161617"/>
          <w:sz w:val="22"/>
          <w:szCs w:val="22"/>
        </w:rPr>
        <w:t xml:space="preserve"> the matters in the letter</w:t>
      </w:r>
      <w:r w:rsidR="00186AD5" w:rsidRPr="00FA2B78">
        <w:rPr>
          <w:color w:val="161617"/>
          <w:sz w:val="22"/>
          <w:szCs w:val="22"/>
        </w:rPr>
        <w:t>,</w:t>
      </w:r>
      <w:r w:rsidRPr="00FA2B78">
        <w:rPr>
          <w:color w:val="161617"/>
          <w:sz w:val="22"/>
          <w:szCs w:val="22"/>
        </w:rPr>
        <w:t xml:space="preserve"> should sign the representation letter.  The letter should be dated as of the end of fieldwork.  If there is</w:t>
      </w:r>
      <w:r w:rsidR="00984FA7">
        <w:rPr>
          <w:color w:val="161617"/>
          <w:sz w:val="22"/>
          <w:szCs w:val="22"/>
        </w:rPr>
        <w:t xml:space="preserve"> a</w:t>
      </w:r>
      <w:r w:rsidRPr="00FA2B78">
        <w:rPr>
          <w:color w:val="161617"/>
          <w:sz w:val="22"/>
          <w:szCs w:val="22"/>
        </w:rPr>
        <w:t xml:space="preserve"> significant delay between the end of audit fieldwork and the issuance of the report, an update may be required.  All bureaus are required to submit a management representation letter to the Deputy Chief Financial Officer by the established deadline.  The Office of Financial Management (OFM) will rely on the respective bureau representation letters to prepare the consolidated management representation letter for the financial statement audit</w:t>
      </w:r>
      <w:r w:rsidR="00066B55" w:rsidRPr="00FA2B78">
        <w:rPr>
          <w:color w:val="161617"/>
          <w:sz w:val="22"/>
          <w:szCs w:val="22"/>
        </w:rPr>
        <w:t xml:space="preserve"> of the Department of Commerce (Department)</w:t>
      </w:r>
      <w:r w:rsidRPr="00FA2B78">
        <w:rPr>
          <w:color w:val="161617"/>
          <w:sz w:val="22"/>
          <w:szCs w:val="22"/>
        </w:rPr>
        <w:t xml:space="preserve">.  </w:t>
      </w:r>
      <w:r w:rsidRPr="00FA2B78">
        <w:rPr>
          <w:b/>
          <w:bCs/>
          <w:color w:val="161617"/>
          <w:sz w:val="22"/>
          <w:szCs w:val="22"/>
        </w:rPr>
        <w:t>Exhibit 1</w:t>
      </w:r>
      <w:r w:rsidRPr="00FA2B78">
        <w:rPr>
          <w:color w:val="161617"/>
          <w:sz w:val="22"/>
          <w:szCs w:val="22"/>
        </w:rPr>
        <w:t xml:space="preserve"> </w:t>
      </w:r>
      <w:r w:rsidR="00674D67" w:rsidRPr="00114542">
        <w:rPr>
          <w:color w:val="161617"/>
          <w:sz w:val="22"/>
          <w:szCs w:val="22"/>
        </w:rPr>
        <w:t xml:space="preserve">of this Attachment </w:t>
      </w:r>
      <w:r w:rsidR="00EC05D3">
        <w:rPr>
          <w:color w:val="161617"/>
          <w:sz w:val="22"/>
          <w:szCs w:val="22"/>
        </w:rPr>
        <w:t>mirrors</w:t>
      </w:r>
      <w:r w:rsidR="00674D67" w:rsidRPr="00114542">
        <w:rPr>
          <w:color w:val="161617"/>
          <w:sz w:val="22"/>
          <w:szCs w:val="22"/>
        </w:rPr>
        <w:t xml:space="preserve"> </w:t>
      </w:r>
      <w:r w:rsidR="00674D67">
        <w:rPr>
          <w:color w:val="161617"/>
          <w:sz w:val="22"/>
          <w:szCs w:val="22"/>
        </w:rPr>
        <w:t xml:space="preserve">the FY </w:t>
      </w:r>
      <w:r w:rsidR="00F36271">
        <w:rPr>
          <w:color w:val="161617"/>
          <w:sz w:val="22"/>
          <w:szCs w:val="22"/>
        </w:rPr>
        <w:t xml:space="preserve">2023 </w:t>
      </w:r>
      <w:r w:rsidR="00674D67">
        <w:rPr>
          <w:color w:val="161617"/>
          <w:sz w:val="22"/>
          <w:szCs w:val="22"/>
        </w:rPr>
        <w:t xml:space="preserve">bureau Management Representation Letter.  The </w:t>
      </w:r>
      <w:r w:rsidR="00EC05D3">
        <w:rPr>
          <w:color w:val="161617"/>
          <w:sz w:val="22"/>
          <w:szCs w:val="22"/>
        </w:rPr>
        <w:t>updated</w:t>
      </w:r>
      <w:r w:rsidR="00674D67">
        <w:rPr>
          <w:color w:val="161617"/>
          <w:sz w:val="22"/>
          <w:szCs w:val="22"/>
        </w:rPr>
        <w:t xml:space="preserve"> letter and specific guidance for the FY </w:t>
      </w:r>
      <w:r w:rsidR="00F36271">
        <w:rPr>
          <w:color w:val="161617"/>
          <w:sz w:val="22"/>
          <w:szCs w:val="22"/>
        </w:rPr>
        <w:t xml:space="preserve">2024 </w:t>
      </w:r>
      <w:r w:rsidR="00674D67">
        <w:rPr>
          <w:color w:val="161617"/>
          <w:sz w:val="22"/>
          <w:szCs w:val="22"/>
        </w:rPr>
        <w:t>audit will be provided by OFM near the end of the audit.</w:t>
      </w:r>
      <w:r w:rsidR="00FA2B78" w:rsidRPr="00FA2B78">
        <w:rPr>
          <w:color w:val="161617"/>
          <w:sz w:val="22"/>
          <w:szCs w:val="22"/>
        </w:rPr>
        <w:t xml:space="preserve"> </w:t>
      </w:r>
      <w:r w:rsidR="00674D67">
        <w:rPr>
          <w:color w:val="161617"/>
          <w:sz w:val="22"/>
          <w:szCs w:val="22"/>
        </w:rPr>
        <w:t xml:space="preserve"> </w:t>
      </w:r>
      <w:r w:rsidR="007F3D6D" w:rsidRPr="00FA2B78">
        <w:rPr>
          <w:color w:val="161617"/>
          <w:sz w:val="22"/>
          <w:szCs w:val="22"/>
        </w:rPr>
        <w:t>Since s</w:t>
      </w:r>
      <w:r w:rsidRPr="00FA2B78">
        <w:rPr>
          <w:color w:val="161617"/>
          <w:sz w:val="22"/>
          <w:szCs w:val="22"/>
        </w:rPr>
        <w:t xml:space="preserve">ome representations vary </w:t>
      </w:r>
      <w:r w:rsidR="007F3D6D" w:rsidRPr="00FA2B78">
        <w:rPr>
          <w:color w:val="161617"/>
          <w:sz w:val="22"/>
          <w:szCs w:val="22"/>
        </w:rPr>
        <w:t>by</w:t>
      </w:r>
      <w:r w:rsidRPr="00FA2B78">
        <w:rPr>
          <w:color w:val="161617"/>
          <w:sz w:val="22"/>
          <w:szCs w:val="22"/>
        </w:rPr>
        <w:t xml:space="preserve"> bureau, if </w:t>
      </w:r>
      <w:r w:rsidR="007F3D6D" w:rsidRPr="00FA2B78">
        <w:rPr>
          <w:color w:val="161617"/>
          <w:sz w:val="22"/>
          <w:szCs w:val="22"/>
        </w:rPr>
        <w:t>a</w:t>
      </w:r>
      <w:r w:rsidRPr="00FA2B78">
        <w:rPr>
          <w:color w:val="161617"/>
          <w:sz w:val="22"/>
          <w:szCs w:val="22"/>
        </w:rPr>
        <w:t xml:space="preserve"> representation is not applicable to your specific </w:t>
      </w:r>
      <w:r w:rsidR="00E046FF" w:rsidRPr="00FA2B78">
        <w:rPr>
          <w:color w:val="161617"/>
          <w:sz w:val="22"/>
          <w:szCs w:val="22"/>
        </w:rPr>
        <w:t>Bureau,</w:t>
      </w:r>
      <w:r w:rsidRPr="00FA2B78">
        <w:rPr>
          <w:color w:val="161617"/>
          <w:sz w:val="22"/>
          <w:szCs w:val="22"/>
        </w:rPr>
        <w:t xml:space="preserve"> please denote </w:t>
      </w:r>
      <w:r w:rsidR="00EC05D3">
        <w:rPr>
          <w:color w:val="161617"/>
          <w:sz w:val="22"/>
          <w:szCs w:val="22"/>
        </w:rPr>
        <w:t xml:space="preserve">it </w:t>
      </w:r>
      <w:r w:rsidR="007F3D6D" w:rsidRPr="00FA2B78">
        <w:rPr>
          <w:color w:val="161617"/>
          <w:sz w:val="22"/>
          <w:szCs w:val="22"/>
        </w:rPr>
        <w:t xml:space="preserve">as </w:t>
      </w:r>
      <w:r w:rsidRPr="00FA2B78">
        <w:rPr>
          <w:i/>
          <w:color w:val="161617"/>
          <w:sz w:val="22"/>
          <w:szCs w:val="22"/>
        </w:rPr>
        <w:t>N/A</w:t>
      </w:r>
      <w:r w:rsidRPr="00FA2B78">
        <w:rPr>
          <w:color w:val="161617"/>
          <w:sz w:val="22"/>
          <w:szCs w:val="22"/>
        </w:rPr>
        <w:t>.</w:t>
      </w:r>
    </w:p>
    <w:p w14:paraId="569EDBE2" w14:textId="77777777" w:rsidR="00732BBE" w:rsidRPr="00FA2B78" w:rsidRDefault="00732BBE" w:rsidP="009C3C89">
      <w:pPr>
        <w:rPr>
          <w:color w:val="161617"/>
          <w:sz w:val="22"/>
          <w:szCs w:val="22"/>
        </w:rPr>
      </w:pPr>
    </w:p>
    <w:p w14:paraId="27663E7A" w14:textId="3EE32DA0" w:rsidR="00732BBE" w:rsidRPr="00FA2B78" w:rsidRDefault="00732BBE" w:rsidP="009C3C89">
      <w:pPr>
        <w:rPr>
          <w:color w:val="161617"/>
          <w:sz w:val="22"/>
          <w:szCs w:val="22"/>
        </w:rPr>
      </w:pPr>
      <w:r w:rsidRPr="00FA2B78">
        <w:rPr>
          <w:color w:val="161617"/>
          <w:sz w:val="22"/>
          <w:szCs w:val="22"/>
          <w:u w:val="single"/>
        </w:rPr>
        <w:t xml:space="preserve">What </w:t>
      </w:r>
      <w:r w:rsidR="00A241CC">
        <w:rPr>
          <w:color w:val="161617"/>
          <w:sz w:val="22"/>
          <w:szCs w:val="22"/>
          <w:u w:val="single"/>
        </w:rPr>
        <w:t>s</w:t>
      </w:r>
      <w:r w:rsidRPr="00FA2B78">
        <w:rPr>
          <w:color w:val="161617"/>
          <w:sz w:val="22"/>
          <w:szCs w:val="22"/>
          <w:u w:val="single"/>
        </w:rPr>
        <w:t xml:space="preserve">hould </w:t>
      </w:r>
      <w:r w:rsidR="00AB25EC" w:rsidRPr="00FA2B78">
        <w:rPr>
          <w:color w:val="161617"/>
          <w:sz w:val="22"/>
          <w:szCs w:val="22"/>
          <w:u w:val="single"/>
        </w:rPr>
        <w:t>b</w:t>
      </w:r>
      <w:r w:rsidR="00AF0605" w:rsidRPr="00FA2B78">
        <w:rPr>
          <w:color w:val="161617"/>
          <w:sz w:val="22"/>
          <w:szCs w:val="22"/>
          <w:u w:val="single"/>
        </w:rPr>
        <w:t>e</w:t>
      </w:r>
      <w:r w:rsidRPr="00FA2B78">
        <w:rPr>
          <w:color w:val="161617"/>
          <w:sz w:val="22"/>
          <w:szCs w:val="22"/>
          <w:u w:val="single"/>
        </w:rPr>
        <w:t xml:space="preserve"> </w:t>
      </w:r>
      <w:r w:rsidR="006359E9">
        <w:rPr>
          <w:color w:val="161617"/>
          <w:sz w:val="22"/>
          <w:szCs w:val="22"/>
          <w:u w:val="single"/>
        </w:rPr>
        <w:t>i</w:t>
      </w:r>
      <w:r w:rsidR="006359E9" w:rsidRPr="00FA2B78">
        <w:rPr>
          <w:color w:val="161617"/>
          <w:sz w:val="22"/>
          <w:szCs w:val="22"/>
          <w:u w:val="single"/>
        </w:rPr>
        <w:t>nc</w:t>
      </w:r>
      <w:r w:rsidR="006359E9">
        <w:rPr>
          <w:color w:val="161617"/>
          <w:sz w:val="22"/>
          <w:szCs w:val="22"/>
          <w:u w:val="single"/>
        </w:rPr>
        <w:t>l</w:t>
      </w:r>
      <w:r w:rsidR="006359E9" w:rsidRPr="00FA2B78">
        <w:rPr>
          <w:color w:val="161617"/>
          <w:sz w:val="22"/>
          <w:szCs w:val="22"/>
          <w:u w:val="single"/>
        </w:rPr>
        <w:t>uded</w:t>
      </w:r>
      <w:r w:rsidRPr="00FA2B78">
        <w:rPr>
          <w:color w:val="161617"/>
          <w:sz w:val="22"/>
          <w:szCs w:val="22"/>
          <w:u w:val="single"/>
        </w:rPr>
        <w:t xml:space="preserve"> for Unasserted Claims</w:t>
      </w:r>
      <w:r w:rsidR="001E10FD" w:rsidRPr="00FA2B78">
        <w:rPr>
          <w:color w:val="161617"/>
          <w:sz w:val="22"/>
          <w:szCs w:val="22"/>
          <w:u w:val="single"/>
        </w:rPr>
        <w:t>?</w:t>
      </w:r>
    </w:p>
    <w:p w14:paraId="3B35F24A" w14:textId="77777777" w:rsidR="00FA2B78" w:rsidRDefault="00FA2B78" w:rsidP="009C3C89">
      <w:pPr>
        <w:rPr>
          <w:color w:val="161617"/>
          <w:sz w:val="22"/>
          <w:szCs w:val="22"/>
        </w:rPr>
      </w:pPr>
    </w:p>
    <w:p w14:paraId="3D3C6F74" w14:textId="49AE350C" w:rsidR="00732BBE" w:rsidRPr="00FA2B78" w:rsidRDefault="00AB25EC" w:rsidP="009C3C89">
      <w:pPr>
        <w:rPr>
          <w:color w:val="161617"/>
          <w:sz w:val="22"/>
          <w:szCs w:val="22"/>
        </w:rPr>
      </w:pPr>
      <w:r w:rsidRPr="00FA2B78">
        <w:rPr>
          <w:color w:val="161617"/>
          <w:sz w:val="22"/>
          <w:szCs w:val="22"/>
        </w:rPr>
        <w:t>AICPA AU-C section 580</w:t>
      </w:r>
      <w:r w:rsidR="001E10FD" w:rsidRPr="00FA2B78">
        <w:rPr>
          <w:color w:val="161617"/>
          <w:sz w:val="22"/>
          <w:szCs w:val="22"/>
        </w:rPr>
        <w:t xml:space="preserve"> </w:t>
      </w:r>
      <w:r w:rsidR="00732BBE" w:rsidRPr="00FA2B78">
        <w:rPr>
          <w:color w:val="161617"/>
          <w:sz w:val="22"/>
          <w:szCs w:val="22"/>
        </w:rPr>
        <w:t>requires a statement from management that it has disclosed all material unasserted claims which your legal counsel has advised are probable of assertion and must be disclosed</w:t>
      </w:r>
      <w:r w:rsidRPr="00FA2B78">
        <w:rPr>
          <w:color w:val="161617"/>
          <w:sz w:val="22"/>
          <w:szCs w:val="22"/>
        </w:rPr>
        <w:t xml:space="preserve">.  Federal entities need to make these disclosures </w:t>
      </w:r>
      <w:r w:rsidR="00732BBE" w:rsidRPr="00FA2B78">
        <w:rPr>
          <w:color w:val="161617"/>
          <w:sz w:val="22"/>
          <w:szCs w:val="22"/>
        </w:rPr>
        <w:t>in accordance with Statement of Federal Financial Accounting Standards (SFFAS) No. 5</w:t>
      </w:r>
      <w:r w:rsidR="001E10FD" w:rsidRPr="00FA2B78">
        <w:rPr>
          <w:color w:val="161617"/>
          <w:sz w:val="22"/>
          <w:szCs w:val="22"/>
        </w:rPr>
        <w:t xml:space="preserve">, </w:t>
      </w:r>
      <w:r w:rsidR="001E10FD" w:rsidRPr="00FA2B78">
        <w:rPr>
          <w:i/>
          <w:color w:val="161617"/>
          <w:sz w:val="22"/>
          <w:szCs w:val="22"/>
        </w:rPr>
        <w:t>Accounting for Liabilities of the Federal Government</w:t>
      </w:r>
      <w:r w:rsidR="00732BBE" w:rsidRPr="00FA2B78">
        <w:rPr>
          <w:color w:val="161617"/>
          <w:sz w:val="22"/>
          <w:szCs w:val="22"/>
        </w:rPr>
        <w:t xml:space="preserve">, as amended by SFFAS No. 12, </w:t>
      </w:r>
      <w:r w:rsidR="00732BBE" w:rsidRPr="00FA2B78">
        <w:rPr>
          <w:i/>
          <w:color w:val="161617"/>
          <w:sz w:val="22"/>
          <w:szCs w:val="22"/>
        </w:rPr>
        <w:t>Recognition of Contingent Liabilities Arising From Litigation</w:t>
      </w:r>
      <w:r w:rsidR="00732BBE" w:rsidRPr="00FA2B78">
        <w:rPr>
          <w:color w:val="161617"/>
          <w:sz w:val="22"/>
          <w:szCs w:val="22"/>
        </w:rPr>
        <w:t xml:space="preserve">.  It is management's responsibility to bring unasserted claims to the attention of legal counsel.  For unasserted claims listed on the management representation letter, management should report the likelihood of the outcome </w:t>
      </w:r>
      <w:r w:rsidR="001E10FD" w:rsidRPr="00FA2B78">
        <w:rPr>
          <w:color w:val="161617"/>
          <w:sz w:val="22"/>
          <w:szCs w:val="22"/>
        </w:rPr>
        <w:t>with</w:t>
      </w:r>
      <w:r w:rsidR="00732BBE" w:rsidRPr="00FA2B78">
        <w:rPr>
          <w:color w:val="161617"/>
          <w:sz w:val="22"/>
          <w:szCs w:val="22"/>
        </w:rPr>
        <w:t xml:space="preserve"> either an estimate of the amount of the loss or a statement that an estimate cannot be determined.</w:t>
      </w:r>
    </w:p>
    <w:p w14:paraId="528C7F65" w14:textId="77777777" w:rsidR="00732BBE" w:rsidRPr="00FA2B78" w:rsidRDefault="00732BBE" w:rsidP="009C3C89">
      <w:pPr>
        <w:rPr>
          <w:color w:val="161617"/>
          <w:sz w:val="22"/>
          <w:szCs w:val="22"/>
        </w:rPr>
      </w:pPr>
    </w:p>
    <w:p w14:paraId="73001FC1" w14:textId="77777777" w:rsidR="00732BBE" w:rsidRPr="00FA2B78" w:rsidRDefault="00732BBE" w:rsidP="009C3C89">
      <w:pPr>
        <w:rPr>
          <w:color w:val="161617"/>
          <w:sz w:val="22"/>
          <w:szCs w:val="22"/>
        </w:rPr>
      </w:pPr>
    </w:p>
    <w:p w14:paraId="66CF15B0" w14:textId="62317267" w:rsidR="00B47F7D" w:rsidRPr="00FA2B78" w:rsidRDefault="00F31E9F" w:rsidP="009C3C89">
      <w:pPr>
        <w:tabs>
          <w:tab w:val="left" w:pos="8025"/>
        </w:tabs>
        <w:rPr>
          <w:color w:val="161617"/>
          <w:sz w:val="22"/>
          <w:szCs w:val="22"/>
        </w:rPr>
      </w:pPr>
      <w:r w:rsidRPr="00FA2B78">
        <w:rPr>
          <w:color w:val="161617"/>
          <w:sz w:val="22"/>
          <w:szCs w:val="22"/>
        </w:rPr>
        <w:tab/>
      </w:r>
    </w:p>
    <w:p w14:paraId="317FF467" w14:textId="77777777" w:rsidR="00732BBE" w:rsidRPr="00FA2B78" w:rsidRDefault="00732BBE" w:rsidP="009C3C89">
      <w:pPr>
        <w:rPr>
          <w:color w:val="161617"/>
          <w:sz w:val="22"/>
          <w:szCs w:val="22"/>
        </w:rPr>
      </w:pPr>
      <w:r w:rsidRPr="00FA2B78">
        <w:rPr>
          <w:color w:val="161617"/>
          <w:sz w:val="22"/>
          <w:szCs w:val="22"/>
        </w:rPr>
        <w:lastRenderedPageBreak/>
        <w:t>Your administrative, finance, and program management officials should be working with the appropriate counsel on possible claims as they arise during the year.  However, management has the final responsibility to determine and present unasserted claims in its representation letter.  If there are no items to report, your letter should clearly state this.</w:t>
      </w:r>
    </w:p>
    <w:p w14:paraId="14CFE9BD" w14:textId="77777777" w:rsidR="00732BBE" w:rsidRPr="00FA2B78" w:rsidRDefault="00732BBE" w:rsidP="009C3C89">
      <w:pPr>
        <w:rPr>
          <w:color w:val="161617"/>
          <w:sz w:val="22"/>
          <w:szCs w:val="22"/>
        </w:rPr>
      </w:pPr>
    </w:p>
    <w:p w14:paraId="0746B4BB" w14:textId="1EE50C39" w:rsidR="00732BBE" w:rsidRPr="00FA2B78" w:rsidRDefault="00732BBE" w:rsidP="009C3C89">
      <w:pPr>
        <w:pStyle w:val="BodyText3"/>
        <w:rPr>
          <w:bCs/>
          <w:color w:val="161617"/>
          <w:szCs w:val="22"/>
          <w:u w:val="single"/>
        </w:rPr>
      </w:pPr>
      <w:r w:rsidRPr="00FA2B78">
        <w:rPr>
          <w:bCs/>
          <w:color w:val="161617"/>
          <w:szCs w:val="22"/>
          <w:u w:val="single"/>
        </w:rPr>
        <w:t xml:space="preserve">What </w:t>
      </w:r>
      <w:r w:rsidR="00A241CC">
        <w:rPr>
          <w:bCs/>
          <w:color w:val="161617"/>
          <w:szCs w:val="22"/>
          <w:u w:val="single"/>
        </w:rPr>
        <w:t>s</w:t>
      </w:r>
      <w:r w:rsidRPr="00FA2B78">
        <w:rPr>
          <w:bCs/>
          <w:color w:val="161617"/>
          <w:szCs w:val="22"/>
          <w:u w:val="single"/>
        </w:rPr>
        <w:t xml:space="preserve">hould </w:t>
      </w:r>
      <w:r w:rsidR="00AB25EC" w:rsidRPr="00FA2B78">
        <w:rPr>
          <w:bCs/>
          <w:color w:val="161617"/>
          <w:szCs w:val="22"/>
          <w:u w:val="single"/>
        </w:rPr>
        <w:t>b</w:t>
      </w:r>
      <w:r w:rsidR="00AF0605" w:rsidRPr="00FA2B78">
        <w:rPr>
          <w:bCs/>
          <w:color w:val="161617"/>
          <w:szCs w:val="22"/>
          <w:u w:val="single"/>
        </w:rPr>
        <w:t>e</w:t>
      </w:r>
      <w:r w:rsidRPr="00FA2B78">
        <w:rPr>
          <w:bCs/>
          <w:color w:val="161617"/>
          <w:szCs w:val="22"/>
          <w:u w:val="single"/>
        </w:rPr>
        <w:t xml:space="preserve"> </w:t>
      </w:r>
      <w:r w:rsidR="00A241CC">
        <w:rPr>
          <w:bCs/>
          <w:color w:val="161617"/>
          <w:szCs w:val="22"/>
          <w:u w:val="single"/>
        </w:rPr>
        <w:t>i</w:t>
      </w:r>
      <w:r w:rsidRPr="00FA2B78">
        <w:rPr>
          <w:bCs/>
          <w:color w:val="161617"/>
          <w:szCs w:val="22"/>
          <w:u w:val="single"/>
        </w:rPr>
        <w:t xml:space="preserve">ncluded </w:t>
      </w:r>
      <w:r w:rsidR="00A241CC">
        <w:rPr>
          <w:bCs/>
          <w:color w:val="161617"/>
          <w:szCs w:val="22"/>
          <w:u w:val="single"/>
        </w:rPr>
        <w:t>for</w:t>
      </w:r>
      <w:r w:rsidRPr="00FA2B78">
        <w:rPr>
          <w:bCs/>
          <w:color w:val="161617"/>
          <w:szCs w:val="22"/>
          <w:u w:val="single"/>
        </w:rPr>
        <w:t xml:space="preserve"> Uncorrected Financial Statement Misstatements</w:t>
      </w:r>
      <w:r w:rsidR="006671A7" w:rsidRPr="00FA2B78">
        <w:rPr>
          <w:bCs/>
          <w:color w:val="161617"/>
          <w:szCs w:val="22"/>
        </w:rPr>
        <w:t>?</w:t>
      </w:r>
    </w:p>
    <w:p w14:paraId="3E901ED5" w14:textId="77777777" w:rsidR="00732BBE" w:rsidRPr="00FA2B78" w:rsidRDefault="00732BBE" w:rsidP="009C3C89">
      <w:pPr>
        <w:rPr>
          <w:color w:val="161617"/>
          <w:sz w:val="22"/>
          <w:szCs w:val="22"/>
        </w:rPr>
      </w:pPr>
    </w:p>
    <w:p w14:paraId="39FBB45C" w14:textId="5BE635A8" w:rsidR="00732BBE" w:rsidRPr="00FA2B78" w:rsidRDefault="00732BBE" w:rsidP="009C3C89">
      <w:pPr>
        <w:rPr>
          <w:color w:val="161617"/>
          <w:sz w:val="22"/>
          <w:szCs w:val="22"/>
        </w:rPr>
      </w:pPr>
      <w:r w:rsidRPr="00FA2B78">
        <w:rPr>
          <w:color w:val="161617"/>
          <w:sz w:val="22"/>
          <w:szCs w:val="22"/>
        </w:rPr>
        <w:t xml:space="preserve">As required by </w:t>
      </w:r>
      <w:r w:rsidR="00AB25EC" w:rsidRPr="00FA2B78">
        <w:rPr>
          <w:color w:val="161617"/>
          <w:sz w:val="22"/>
          <w:szCs w:val="22"/>
        </w:rPr>
        <w:t xml:space="preserve">AICPA AU-C section 580, paragraph A12, </w:t>
      </w:r>
      <w:r w:rsidRPr="00FA2B78">
        <w:rPr>
          <w:color w:val="161617"/>
          <w:sz w:val="22"/>
          <w:szCs w:val="22"/>
        </w:rPr>
        <w:t>the management letter should include a representation regarding the materiality of uncorrected financial statement misstatements aggregated by the auditor(s).</w:t>
      </w:r>
      <w:r w:rsidR="006D2CC5" w:rsidRPr="00FA2B78">
        <w:rPr>
          <w:color w:val="161617"/>
          <w:sz w:val="22"/>
          <w:szCs w:val="22"/>
        </w:rPr>
        <w:t xml:space="preserve"> </w:t>
      </w:r>
      <w:r w:rsidR="00AB25EC" w:rsidRPr="00FA2B78">
        <w:rPr>
          <w:color w:val="161617"/>
          <w:sz w:val="22"/>
          <w:szCs w:val="22"/>
        </w:rPr>
        <w:t xml:space="preserve"> </w:t>
      </w:r>
      <w:r w:rsidR="00190A1B" w:rsidRPr="00FA2B78">
        <w:rPr>
          <w:color w:val="161617"/>
          <w:sz w:val="22"/>
          <w:szCs w:val="22"/>
        </w:rPr>
        <w:t xml:space="preserve">If there are no </w:t>
      </w:r>
      <w:r w:rsidR="00FE0A58" w:rsidRPr="00FA2B78">
        <w:rPr>
          <w:color w:val="161617"/>
          <w:sz w:val="22"/>
          <w:szCs w:val="22"/>
        </w:rPr>
        <w:t xml:space="preserve">uncorrected misstatements, your letter should </w:t>
      </w:r>
      <w:r w:rsidR="006E5802" w:rsidRPr="00FA2B78">
        <w:rPr>
          <w:color w:val="161617"/>
          <w:sz w:val="22"/>
          <w:szCs w:val="22"/>
        </w:rPr>
        <w:t>report</w:t>
      </w:r>
      <w:r w:rsidR="00FE0A58" w:rsidRPr="00FA2B78">
        <w:rPr>
          <w:color w:val="161617"/>
          <w:sz w:val="22"/>
          <w:szCs w:val="22"/>
        </w:rPr>
        <w:t xml:space="preserve"> that information. </w:t>
      </w:r>
    </w:p>
    <w:p w14:paraId="0843053E" w14:textId="77777777" w:rsidR="00732BBE" w:rsidRPr="00FA2B78" w:rsidRDefault="00732BBE" w:rsidP="009C3C89">
      <w:pPr>
        <w:rPr>
          <w:b/>
          <w:sz w:val="22"/>
          <w:szCs w:val="22"/>
        </w:rPr>
      </w:pPr>
    </w:p>
    <w:p w14:paraId="0E2CCA82" w14:textId="77777777" w:rsidR="00732BBE" w:rsidRPr="00FA2B78" w:rsidRDefault="00732BBE" w:rsidP="009C3C89">
      <w:pPr>
        <w:pStyle w:val="Heading4"/>
        <w:spacing w:before="0" w:after="0"/>
        <w:rPr>
          <w:rFonts w:ascii="Times New Roman" w:hAnsi="Times New Roman"/>
          <w:sz w:val="22"/>
          <w:szCs w:val="22"/>
        </w:rPr>
      </w:pPr>
      <w:r w:rsidRPr="00FA2B78">
        <w:rPr>
          <w:rFonts w:ascii="Times New Roman" w:hAnsi="Times New Roman"/>
          <w:sz w:val="22"/>
          <w:szCs w:val="22"/>
        </w:rPr>
        <w:t>I</w:t>
      </w:r>
      <w:r w:rsidR="00096EEA" w:rsidRPr="00FA2B78">
        <w:rPr>
          <w:rFonts w:ascii="Times New Roman" w:hAnsi="Times New Roman"/>
          <w:sz w:val="22"/>
          <w:szCs w:val="22"/>
        </w:rPr>
        <w:t>I</w:t>
      </w:r>
      <w:r w:rsidRPr="00FA2B78">
        <w:rPr>
          <w:rFonts w:ascii="Times New Roman" w:hAnsi="Times New Roman"/>
          <w:sz w:val="22"/>
          <w:szCs w:val="22"/>
        </w:rPr>
        <w:t>I. Legal Representation Letters</w:t>
      </w:r>
    </w:p>
    <w:p w14:paraId="67618C6E" w14:textId="77777777" w:rsidR="00732BBE" w:rsidRPr="00FA2B78" w:rsidRDefault="00732BBE" w:rsidP="009C3C89">
      <w:pPr>
        <w:rPr>
          <w:color w:val="161617"/>
          <w:sz w:val="22"/>
          <w:szCs w:val="22"/>
        </w:rPr>
      </w:pPr>
    </w:p>
    <w:p w14:paraId="24554270" w14:textId="77777777" w:rsidR="00732BBE" w:rsidRPr="00FA2B78" w:rsidRDefault="00732BBE" w:rsidP="009C3C89">
      <w:pPr>
        <w:rPr>
          <w:color w:val="161617"/>
          <w:sz w:val="22"/>
          <w:szCs w:val="22"/>
        </w:rPr>
      </w:pPr>
      <w:r w:rsidRPr="00FA2B78">
        <w:rPr>
          <w:color w:val="161617"/>
          <w:sz w:val="22"/>
          <w:szCs w:val="22"/>
        </w:rPr>
        <w:t>The Department is responsible for issuing three separate inquiry letters to ensure that all information on legal claims or contingencies against the Department is received, recorded, and disclosed for the consolidated financial statements.  The letters are issued to the Department’s Office of General Counsel (OGC), the Department’s Office of Civil Rights (OCR), and the U.S. Patent and Trademark Office (USPTO).  The requested information is limited to claims or contingencies that exceed the Department’s materiality threshold as determined during the audit.</w:t>
      </w:r>
    </w:p>
    <w:p w14:paraId="75E27A6E" w14:textId="77777777" w:rsidR="00732BBE" w:rsidRPr="00FA2B78" w:rsidRDefault="00732BBE" w:rsidP="009C3C89">
      <w:pPr>
        <w:rPr>
          <w:color w:val="161617"/>
          <w:sz w:val="22"/>
          <w:szCs w:val="22"/>
        </w:rPr>
      </w:pPr>
    </w:p>
    <w:p w14:paraId="0C7FD390" w14:textId="3630AAFA" w:rsidR="00732BBE" w:rsidRPr="00FA2B78" w:rsidRDefault="00732BBE" w:rsidP="009C3C89">
      <w:pPr>
        <w:rPr>
          <w:color w:val="161617"/>
          <w:sz w:val="22"/>
          <w:szCs w:val="22"/>
        </w:rPr>
      </w:pPr>
      <w:r w:rsidRPr="00FA2B78">
        <w:rPr>
          <w:color w:val="161617"/>
          <w:sz w:val="22"/>
          <w:szCs w:val="22"/>
        </w:rPr>
        <w:t xml:space="preserve">In addition to OGC and OCR, the Department issues a separate letter directly to USPTO because their Solicitor’s Office and </w:t>
      </w:r>
      <w:r w:rsidR="006015C8" w:rsidRPr="00FA2B78">
        <w:rPr>
          <w:color w:val="161617"/>
          <w:sz w:val="22"/>
          <w:szCs w:val="22"/>
        </w:rPr>
        <w:t xml:space="preserve">Office of Equal Employment Opportunity and Diversity (part of the </w:t>
      </w:r>
      <w:r w:rsidRPr="00FA2B78">
        <w:rPr>
          <w:color w:val="161617"/>
          <w:sz w:val="22"/>
          <w:szCs w:val="22"/>
        </w:rPr>
        <w:t>Civil Rights Office</w:t>
      </w:r>
      <w:r w:rsidR="006015C8" w:rsidRPr="00FA2B78">
        <w:rPr>
          <w:color w:val="161617"/>
          <w:sz w:val="22"/>
          <w:szCs w:val="22"/>
        </w:rPr>
        <w:t>)</w:t>
      </w:r>
      <w:r w:rsidRPr="00FA2B78">
        <w:rPr>
          <w:color w:val="161617"/>
          <w:sz w:val="22"/>
          <w:szCs w:val="22"/>
        </w:rPr>
        <w:t xml:space="preserve"> administer</w:t>
      </w:r>
      <w:r w:rsidR="00AB25EC" w:rsidRPr="00FA2B78">
        <w:rPr>
          <w:color w:val="161617"/>
          <w:sz w:val="22"/>
          <w:szCs w:val="22"/>
        </w:rPr>
        <w:t>s</w:t>
      </w:r>
      <w:r w:rsidRPr="00FA2B78">
        <w:rPr>
          <w:color w:val="161617"/>
          <w:sz w:val="22"/>
          <w:szCs w:val="22"/>
        </w:rPr>
        <w:t xml:space="preserve"> all cases separately from the Department.  As always, bureau management should be in contact with their internal and/or </w:t>
      </w:r>
      <w:r w:rsidR="00066B55" w:rsidRPr="00FA2B78">
        <w:rPr>
          <w:color w:val="161617"/>
          <w:sz w:val="22"/>
          <w:szCs w:val="22"/>
        </w:rPr>
        <w:t xml:space="preserve">the Department’s </w:t>
      </w:r>
      <w:r w:rsidRPr="00FA2B78">
        <w:rPr>
          <w:color w:val="161617"/>
          <w:sz w:val="22"/>
          <w:szCs w:val="22"/>
        </w:rPr>
        <w:t>OGC on legal issues as they arise.</w:t>
      </w:r>
    </w:p>
    <w:p w14:paraId="1EE3E9B2" w14:textId="77777777" w:rsidR="00732BBE" w:rsidRPr="00FA2B78" w:rsidRDefault="00732BBE" w:rsidP="009C3C89">
      <w:pPr>
        <w:rPr>
          <w:color w:val="161617"/>
          <w:sz w:val="22"/>
          <w:szCs w:val="22"/>
        </w:rPr>
      </w:pPr>
    </w:p>
    <w:p w14:paraId="288915DA" w14:textId="045AA88A" w:rsidR="00732BBE" w:rsidRPr="00FA2B78" w:rsidRDefault="00732BBE" w:rsidP="009C3C89">
      <w:pPr>
        <w:pStyle w:val="Default"/>
        <w:ind w:right="80"/>
        <w:rPr>
          <w:color w:val="161617"/>
          <w:sz w:val="22"/>
          <w:szCs w:val="22"/>
        </w:rPr>
      </w:pPr>
      <w:r w:rsidRPr="00FA2B78">
        <w:rPr>
          <w:color w:val="161617"/>
          <w:sz w:val="22"/>
          <w:szCs w:val="22"/>
        </w:rPr>
        <w:t xml:space="preserve">This request for Department-level contingency information is a requirement of </w:t>
      </w:r>
      <w:r w:rsidR="00F36271" w:rsidRPr="00FA2B78">
        <w:rPr>
          <w:color w:val="161617"/>
          <w:sz w:val="22"/>
          <w:szCs w:val="22"/>
        </w:rPr>
        <w:t>the Office</w:t>
      </w:r>
      <w:r w:rsidRPr="00FA2B78">
        <w:rPr>
          <w:color w:val="161617"/>
          <w:sz w:val="22"/>
          <w:szCs w:val="22"/>
        </w:rPr>
        <w:t xml:space="preserve"> of Management and Budget (OMB) Bulletin No. </w:t>
      </w:r>
      <w:r w:rsidR="00934B38">
        <w:rPr>
          <w:color w:val="161617"/>
          <w:sz w:val="22"/>
          <w:szCs w:val="22"/>
        </w:rPr>
        <w:t>24-0</w:t>
      </w:r>
      <w:r w:rsidR="009D69A1">
        <w:rPr>
          <w:color w:val="161617"/>
          <w:sz w:val="22"/>
          <w:szCs w:val="22"/>
        </w:rPr>
        <w:t>2</w:t>
      </w:r>
      <w:r w:rsidR="00405AC3" w:rsidRPr="00FA2B78">
        <w:rPr>
          <w:color w:val="161617"/>
          <w:sz w:val="22"/>
          <w:szCs w:val="22"/>
        </w:rPr>
        <w:t xml:space="preserve">, </w:t>
      </w:r>
      <w:r w:rsidRPr="00FA2B78">
        <w:rPr>
          <w:i/>
          <w:iCs/>
          <w:color w:val="161617"/>
          <w:sz w:val="22"/>
          <w:szCs w:val="22"/>
        </w:rPr>
        <w:t>Audit Requirements for Federal Financial Statements</w:t>
      </w:r>
      <w:r w:rsidRPr="00FA2B78">
        <w:rPr>
          <w:color w:val="161617"/>
          <w:sz w:val="22"/>
          <w:szCs w:val="22"/>
        </w:rPr>
        <w:t xml:space="preserve">.  The timing of legal letter requests, responses, and related management’s schedules shall be coordinated between OGC, Department management, and the bureau. </w:t>
      </w:r>
      <w:r w:rsidR="000C00D1" w:rsidRPr="00FA2B78">
        <w:rPr>
          <w:color w:val="161617"/>
          <w:sz w:val="22"/>
          <w:szCs w:val="22"/>
        </w:rPr>
        <w:t xml:space="preserve"> </w:t>
      </w:r>
      <w:r w:rsidRPr="00FA2B78">
        <w:rPr>
          <w:color w:val="161617"/>
          <w:sz w:val="22"/>
          <w:szCs w:val="22"/>
        </w:rPr>
        <w:t>Unless the Department has internal due dates</w:t>
      </w:r>
      <w:r w:rsidR="00AB25EC" w:rsidRPr="00FA2B78">
        <w:rPr>
          <w:color w:val="161617"/>
          <w:sz w:val="22"/>
          <w:szCs w:val="22"/>
        </w:rPr>
        <w:t>,</w:t>
      </w:r>
      <w:r w:rsidRPr="00FA2B78">
        <w:rPr>
          <w:color w:val="161617"/>
          <w:sz w:val="22"/>
          <w:szCs w:val="22"/>
        </w:rPr>
        <w:t xml:space="preserve"> </w:t>
      </w:r>
      <w:r w:rsidRPr="00FA2B78">
        <w:rPr>
          <w:color w:val="000000" w:themeColor="text1"/>
          <w:sz w:val="22"/>
          <w:szCs w:val="22"/>
        </w:rPr>
        <w:t xml:space="preserve">all due dates shall be in accordance with the due dates </w:t>
      </w:r>
      <w:r w:rsidR="00DB7B24" w:rsidRPr="00FA2B78">
        <w:rPr>
          <w:color w:val="000000" w:themeColor="text1"/>
          <w:sz w:val="22"/>
          <w:szCs w:val="22"/>
        </w:rPr>
        <w:t>listed in the current Year-end Closing Bulletin, which is part of TFM Volume I</w:t>
      </w:r>
      <w:r w:rsidR="00DB7B24" w:rsidRPr="00FA2B78">
        <w:rPr>
          <w:color w:val="161617"/>
          <w:sz w:val="22"/>
          <w:szCs w:val="22"/>
        </w:rPr>
        <w:t xml:space="preserve"> and issued each fiscal year, usually after the end of the second quarter.</w:t>
      </w:r>
      <w:r w:rsidR="00A241CC">
        <w:rPr>
          <w:color w:val="161617"/>
          <w:sz w:val="22"/>
          <w:szCs w:val="22"/>
        </w:rPr>
        <w:t xml:space="preserve"> </w:t>
      </w:r>
    </w:p>
    <w:p w14:paraId="2E180AE9" w14:textId="77777777" w:rsidR="00732BBE" w:rsidRPr="00FA2B78" w:rsidRDefault="00732BBE" w:rsidP="009C3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161617"/>
          <w:sz w:val="22"/>
          <w:szCs w:val="22"/>
        </w:rPr>
      </w:pPr>
    </w:p>
    <w:p w14:paraId="6B6767C1" w14:textId="77777777" w:rsidR="00732BBE" w:rsidRPr="00FA2B78" w:rsidRDefault="00732BBE" w:rsidP="009C3C89">
      <w:pPr>
        <w:rPr>
          <w:color w:val="161617"/>
          <w:sz w:val="22"/>
          <w:szCs w:val="22"/>
        </w:rPr>
      </w:pPr>
      <w:r w:rsidRPr="00FA2B78">
        <w:rPr>
          <w:color w:val="161617"/>
          <w:sz w:val="22"/>
          <w:szCs w:val="22"/>
        </w:rPr>
        <w:t xml:space="preserve">For the first, second, and third quarters, OGC, OCR, and USPTO are required to submit an update to the prior year-end response, </w:t>
      </w:r>
      <w:r w:rsidR="00741800" w:rsidRPr="00FA2B78">
        <w:rPr>
          <w:color w:val="161617"/>
          <w:sz w:val="22"/>
          <w:szCs w:val="22"/>
        </w:rPr>
        <w:t xml:space="preserve">eight </w:t>
      </w:r>
      <w:r w:rsidRPr="00FA2B78">
        <w:rPr>
          <w:color w:val="161617"/>
          <w:sz w:val="22"/>
          <w:szCs w:val="22"/>
        </w:rPr>
        <w:t>days</w:t>
      </w:r>
      <w:r w:rsidR="00741800" w:rsidRPr="00FA2B78">
        <w:rPr>
          <w:color w:val="161617"/>
          <w:sz w:val="22"/>
          <w:szCs w:val="22"/>
        </w:rPr>
        <w:t xml:space="preserve"> (adjusted for weekends)</w:t>
      </w:r>
      <w:r w:rsidRPr="00FA2B78">
        <w:rPr>
          <w:color w:val="161617"/>
          <w:sz w:val="22"/>
          <w:szCs w:val="22"/>
        </w:rPr>
        <w:t xml:space="preserve"> after each quarter end.  </w:t>
      </w:r>
      <w:r w:rsidRPr="00FA2B78">
        <w:rPr>
          <w:snapToGrid/>
          <w:color w:val="161617"/>
          <w:sz w:val="22"/>
          <w:szCs w:val="22"/>
        </w:rPr>
        <w:t xml:space="preserve">The updated responses need </w:t>
      </w:r>
      <w:r w:rsidR="00357913" w:rsidRPr="00FA2B78">
        <w:rPr>
          <w:snapToGrid/>
          <w:color w:val="161617"/>
          <w:sz w:val="22"/>
          <w:szCs w:val="22"/>
        </w:rPr>
        <w:t xml:space="preserve">to </w:t>
      </w:r>
      <w:r w:rsidRPr="00FA2B78">
        <w:rPr>
          <w:snapToGrid/>
          <w:color w:val="161617"/>
          <w:sz w:val="22"/>
          <w:szCs w:val="22"/>
        </w:rPr>
        <w:t>only include new information and/or changes from the prior response.</w:t>
      </w:r>
    </w:p>
    <w:p w14:paraId="79045284" w14:textId="77777777" w:rsidR="00732BBE" w:rsidRPr="00FA2B78" w:rsidRDefault="00732BBE" w:rsidP="009C3C8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161617"/>
          <w:sz w:val="22"/>
          <w:szCs w:val="22"/>
        </w:rPr>
      </w:pPr>
    </w:p>
    <w:p w14:paraId="35DE9873" w14:textId="77777777" w:rsidR="00732BBE" w:rsidRPr="00FA2B78" w:rsidRDefault="00732BBE" w:rsidP="009C3C89">
      <w:pPr>
        <w:pStyle w:val="Heading4"/>
        <w:spacing w:before="0" w:after="0"/>
        <w:rPr>
          <w:rFonts w:ascii="Times New Roman" w:hAnsi="Times New Roman"/>
          <w:sz w:val="22"/>
          <w:szCs w:val="22"/>
        </w:rPr>
      </w:pPr>
      <w:r w:rsidRPr="00FA2B78">
        <w:rPr>
          <w:rFonts w:ascii="Times New Roman" w:hAnsi="Times New Roman"/>
          <w:sz w:val="22"/>
          <w:szCs w:val="22"/>
        </w:rPr>
        <w:t>I</w:t>
      </w:r>
      <w:r w:rsidR="00096EEA" w:rsidRPr="00FA2B78">
        <w:rPr>
          <w:rFonts w:ascii="Times New Roman" w:hAnsi="Times New Roman"/>
          <w:sz w:val="22"/>
          <w:szCs w:val="22"/>
        </w:rPr>
        <w:t>V</w:t>
      </w:r>
      <w:r w:rsidRPr="00FA2B78">
        <w:rPr>
          <w:rFonts w:ascii="Times New Roman" w:hAnsi="Times New Roman"/>
          <w:sz w:val="22"/>
          <w:szCs w:val="22"/>
        </w:rPr>
        <w:t>. Unasserted Claims</w:t>
      </w:r>
    </w:p>
    <w:p w14:paraId="378B4F6A" w14:textId="77777777" w:rsidR="00732BBE" w:rsidRPr="00FA2B78" w:rsidRDefault="00732BBE" w:rsidP="009C3C89">
      <w:pPr>
        <w:rPr>
          <w:color w:val="161617"/>
          <w:sz w:val="22"/>
          <w:szCs w:val="22"/>
        </w:rPr>
      </w:pPr>
    </w:p>
    <w:p w14:paraId="767274F7" w14:textId="53478FA8" w:rsidR="00732BBE" w:rsidRPr="00FA2B78" w:rsidRDefault="00732BBE" w:rsidP="009C3C89">
      <w:pPr>
        <w:rPr>
          <w:color w:val="161617"/>
          <w:sz w:val="22"/>
          <w:szCs w:val="22"/>
        </w:rPr>
      </w:pPr>
      <w:r w:rsidRPr="00FA2B78">
        <w:rPr>
          <w:snapToGrid/>
          <w:color w:val="161617"/>
          <w:sz w:val="22"/>
          <w:szCs w:val="22"/>
        </w:rPr>
        <w:t>An unasserted claim is any claim that management may be aware of</w:t>
      </w:r>
      <w:r w:rsidR="00357913" w:rsidRPr="00FA2B78">
        <w:rPr>
          <w:snapToGrid/>
          <w:color w:val="161617"/>
          <w:sz w:val="22"/>
          <w:szCs w:val="22"/>
        </w:rPr>
        <w:t>,</w:t>
      </w:r>
      <w:r w:rsidRPr="00FA2B78">
        <w:rPr>
          <w:snapToGrid/>
          <w:color w:val="161617"/>
          <w:sz w:val="22"/>
          <w:szCs w:val="22"/>
        </w:rPr>
        <w:t xml:space="preserve"> but that has not </w:t>
      </w:r>
      <w:r w:rsidR="004803E4" w:rsidRPr="00FA2B78">
        <w:rPr>
          <w:snapToGrid/>
          <w:color w:val="161617"/>
          <w:sz w:val="22"/>
          <w:szCs w:val="22"/>
        </w:rPr>
        <w:t xml:space="preserve">been formalized with the OGC, </w:t>
      </w:r>
      <w:r w:rsidRPr="00FA2B78">
        <w:rPr>
          <w:snapToGrid/>
          <w:color w:val="161617"/>
          <w:sz w:val="22"/>
          <w:szCs w:val="22"/>
        </w:rPr>
        <w:t>OCR</w:t>
      </w:r>
      <w:r w:rsidR="004803E4" w:rsidRPr="00FA2B78">
        <w:rPr>
          <w:snapToGrid/>
          <w:color w:val="161617"/>
          <w:sz w:val="22"/>
          <w:szCs w:val="22"/>
        </w:rPr>
        <w:t xml:space="preserve"> or USPTO</w:t>
      </w:r>
      <w:r w:rsidRPr="00FA2B78">
        <w:rPr>
          <w:snapToGrid/>
          <w:color w:val="161617"/>
          <w:sz w:val="22"/>
          <w:szCs w:val="22"/>
        </w:rPr>
        <w:t>.</w:t>
      </w:r>
    </w:p>
    <w:p w14:paraId="1FFE114F" w14:textId="77777777" w:rsidR="00732BBE" w:rsidRPr="00FA2B78" w:rsidRDefault="00732BBE" w:rsidP="009C3C89">
      <w:pPr>
        <w:rPr>
          <w:color w:val="161617"/>
          <w:sz w:val="22"/>
          <w:szCs w:val="22"/>
        </w:rPr>
      </w:pPr>
    </w:p>
    <w:p w14:paraId="70EAB4A0" w14:textId="77777777" w:rsidR="00732BBE" w:rsidRPr="00FA2B78" w:rsidRDefault="00732BBE" w:rsidP="009C3C89">
      <w:pPr>
        <w:rPr>
          <w:color w:val="161617"/>
          <w:sz w:val="22"/>
          <w:szCs w:val="22"/>
        </w:rPr>
      </w:pPr>
      <w:r w:rsidRPr="00FA2B78">
        <w:rPr>
          <w:color w:val="161617"/>
          <w:sz w:val="22"/>
          <w:szCs w:val="22"/>
        </w:rPr>
        <w:t xml:space="preserve">Each quarter, bureaus will canvas their components for all unasserted claims from the beginning of the fiscal year through the quarter-ended date.  </w:t>
      </w:r>
      <w:r w:rsidRPr="00FA2B78">
        <w:rPr>
          <w:snapToGrid/>
          <w:color w:val="161617"/>
          <w:sz w:val="22"/>
          <w:szCs w:val="22"/>
        </w:rPr>
        <w:t xml:space="preserve">The dates bureaus should </w:t>
      </w:r>
      <w:r w:rsidR="00B72F8D" w:rsidRPr="00FA2B78">
        <w:rPr>
          <w:snapToGrid/>
          <w:color w:val="161617"/>
          <w:sz w:val="22"/>
          <w:szCs w:val="22"/>
        </w:rPr>
        <w:t xml:space="preserve">use to </w:t>
      </w:r>
      <w:r w:rsidRPr="00FA2B78">
        <w:rPr>
          <w:snapToGrid/>
          <w:color w:val="161617"/>
          <w:sz w:val="22"/>
          <w:szCs w:val="22"/>
        </w:rPr>
        <w:t>canvas their components are listed in Attachment I</w:t>
      </w:r>
      <w:r w:rsidR="00096EEA" w:rsidRPr="00FA2B78">
        <w:rPr>
          <w:snapToGrid/>
          <w:color w:val="161617"/>
          <w:sz w:val="22"/>
          <w:szCs w:val="22"/>
        </w:rPr>
        <w:t xml:space="preserve"> of this Guidance</w:t>
      </w:r>
      <w:r w:rsidRPr="00FA2B78">
        <w:rPr>
          <w:snapToGrid/>
          <w:color w:val="161617"/>
          <w:sz w:val="22"/>
          <w:szCs w:val="22"/>
        </w:rPr>
        <w:t>.</w:t>
      </w:r>
    </w:p>
    <w:p w14:paraId="77204F6A" w14:textId="77777777" w:rsidR="00732BBE" w:rsidRPr="00FA2B78" w:rsidRDefault="00732BBE" w:rsidP="009C3C89">
      <w:pPr>
        <w:rPr>
          <w:color w:val="161617"/>
          <w:sz w:val="22"/>
          <w:szCs w:val="22"/>
        </w:rPr>
      </w:pPr>
    </w:p>
    <w:p w14:paraId="2D9387ED" w14:textId="77777777" w:rsidR="00732BBE" w:rsidRPr="00FA2B78" w:rsidRDefault="00732BBE" w:rsidP="009C3C89">
      <w:pPr>
        <w:rPr>
          <w:color w:val="161617"/>
          <w:sz w:val="22"/>
          <w:szCs w:val="22"/>
        </w:rPr>
      </w:pPr>
      <w:r w:rsidRPr="00FA2B78">
        <w:rPr>
          <w:color w:val="161617"/>
          <w:sz w:val="22"/>
          <w:szCs w:val="22"/>
        </w:rPr>
        <w:t>Each quarter, the Department will send to the bureaus an inquiry via e-mail, regarding unasserted claims</w:t>
      </w:r>
      <w:r w:rsidR="009803D4" w:rsidRPr="00FA2B78">
        <w:rPr>
          <w:color w:val="161617"/>
          <w:sz w:val="22"/>
          <w:szCs w:val="22"/>
        </w:rPr>
        <w:t xml:space="preserve"> regardless of threshold</w:t>
      </w:r>
      <w:r w:rsidRPr="00FA2B78">
        <w:rPr>
          <w:color w:val="161617"/>
          <w:sz w:val="22"/>
          <w:szCs w:val="22"/>
        </w:rPr>
        <w:t xml:space="preserve">.  </w:t>
      </w:r>
      <w:r w:rsidRPr="00FA2B78">
        <w:rPr>
          <w:snapToGrid/>
          <w:color w:val="161617"/>
          <w:sz w:val="22"/>
          <w:szCs w:val="22"/>
        </w:rPr>
        <w:t>The due dates for the responses from bureau management are listed in Attachment I</w:t>
      </w:r>
      <w:r w:rsidR="00096EEA" w:rsidRPr="00FA2B78">
        <w:rPr>
          <w:snapToGrid/>
          <w:color w:val="161617"/>
          <w:sz w:val="22"/>
          <w:szCs w:val="22"/>
        </w:rPr>
        <w:t xml:space="preserve"> of this Guidance</w:t>
      </w:r>
      <w:r w:rsidRPr="00FA2B78">
        <w:rPr>
          <w:snapToGrid/>
          <w:color w:val="161617"/>
          <w:sz w:val="22"/>
          <w:szCs w:val="22"/>
        </w:rPr>
        <w:t>.  If the bureau has no unasserted claims</w:t>
      </w:r>
      <w:r w:rsidR="00D51B78" w:rsidRPr="00FA2B78">
        <w:rPr>
          <w:snapToGrid/>
          <w:color w:val="161617"/>
          <w:sz w:val="22"/>
          <w:szCs w:val="22"/>
        </w:rPr>
        <w:t xml:space="preserve">, </w:t>
      </w:r>
      <w:r w:rsidRPr="00FA2B78">
        <w:rPr>
          <w:snapToGrid/>
          <w:color w:val="161617"/>
          <w:sz w:val="22"/>
          <w:szCs w:val="22"/>
        </w:rPr>
        <w:t xml:space="preserve">it should provide a negative </w:t>
      </w:r>
      <w:r w:rsidRPr="00FA2B78">
        <w:rPr>
          <w:snapToGrid/>
          <w:color w:val="161617"/>
          <w:sz w:val="22"/>
          <w:szCs w:val="22"/>
        </w:rPr>
        <w:lastRenderedPageBreak/>
        <w:t>response.</w:t>
      </w:r>
    </w:p>
    <w:p w14:paraId="0FD250AA" w14:textId="0FFBBE0F" w:rsidR="00732BBE" w:rsidRPr="00FA2B78" w:rsidRDefault="001036C1" w:rsidP="009C3C89">
      <w:pPr>
        <w:pStyle w:val="Date"/>
        <w:tabs>
          <w:tab w:val="left" w:pos="7110"/>
        </w:tabs>
        <w:rPr>
          <w:color w:val="161617"/>
          <w:sz w:val="22"/>
          <w:szCs w:val="22"/>
        </w:rPr>
      </w:pPr>
      <w:r w:rsidRPr="00FA2B78">
        <w:rPr>
          <w:color w:val="161617"/>
          <w:sz w:val="22"/>
          <w:szCs w:val="22"/>
        </w:rPr>
        <w:tab/>
      </w:r>
    </w:p>
    <w:p w14:paraId="126D3AC4" w14:textId="7A347035" w:rsidR="00732BBE" w:rsidRPr="00FA2B78" w:rsidRDefault="00732BBE" w:rsidP="009C3C89">
      <w:pPr>
        <w:pStyle w:val="Heading4"/>
        <w:spacing w:before="0" w:after="0"/>
        <w:rPr>
          <w:rFonts w:ascii="Times New Roman" w:hAnsi="Times New Roman"/>
          <w:sz w:val="22"/>
          <w:szCs w:val="22"/>
        </w:rPr>
      </w:pPr>
      <w:r w:rsidRPr="00FA2B78">
        <w:rPr>
          <w:rFonts w:ascii="Times New Roman" w:hAnsi="Times New Roman"/>
          <w:sz w:val="22"/>
          <w:szCs w:val="22"/>
        </w:rPr>
        <w:t>V. Due Dates for Submissions</w:t>
      </w:r>
    </w:p>
    <w:p w14:paraId="03741CBE" w14:textId="77777777" w:rsidR="00732BBE" w:rsidRPr="00FA2B78" w:rsidRDefault="00732BBE" w:rsidP="009C3C89">
      <w:pPr>
        <w:tabs>
          <w:tab w:val="left" w:pos="-1080"/>
          <w:tab w:val="left" w:pos="-720"/>
          <w:tab w:val="left" w:pos="0"/>
          <w:tab w:val="left" w:pos="3958"/>
          <w:tab w:val="left" w:pos="4678"/>
          <w:tab w:val="left" w:pos="8639"/>
        </w:tabs>
        <w:ind w:left="360"/>
        <w:rPr>
          <w:color w:val="161617"/>
          <w:sz w:val="22"/>
          <w:szCs w:val="22"/>
        </w:rPr>
      </w:pPr>
    </w:p>
    <w:p w14:paraId="187F4698" w14:textId="7E0D0214" w:rsidR="00732BBE" w:rsidRPr="00FA2B78" w:rsidRDefault="00732BBE" w:rsidP="009C3C89">
      <w:pPr>
        <w:tabs>
          <w:tab w:val="left" w:pos="-1080"/>
          <w:tab w:val="left" w:pos="-720"/>
          <w:tab w:val="left" w:pos="0"/>
          <w:tab w:val="left" w:pos="3960"/>
          <w:tab w:val="left" w:pos="4680"/>
          <w:tab w:val="left" w:pos="8640"/>
        </w:tabs>
        <w:ind w:left="360" w:hanging="360"/>
        <w:rPr>
          <w:color w:val="161617"/>
          <w:sz w:val="22"/>
          <w:szCs w:val="22"/>
        </w:rPr>
      </w:pPr>
      <w:r w:rsidRPr="00FA2B78">
        <w:rPr>
          <w:bCs/>
          <w:color w:val="161617"/>
          <w:sz w:val="22"/>
          <w:szCs w:val="22"/>
        </w:rPr>
        <w:t xml:space="preserve">See FY </w:t>
      </w:r>
      <w:r w:rsidR="00934B38">
        <w:rPr>
          <w:bCs/>
          <w:color w:val="161617"/>
          <w:sz w:val="22"/>
          <w:szCs w:val="22"/>
        </w:rPr>
        <w:t>2024/2025</w:t>
      </w:r>
      <w:r w:rsidR="00F10D83" w:rsidRPr="00FA2B78">
        <w:rPr>
          <w:bCs/>
          <w:color w:val="161617"/>
          <w:sz w:val="22"/>
          <w:szCs w:val="22"/>
        </w:rPr>
        <w:t xml:space="preserve"> </w:t>
      </w:r>
      <w:r w:rsidRPr="00FA2B78">
        <w:rPr>
          <w:bCs/>
          <w:color w:val="161617"/>
          <w:sz w:val="22"/>
          <w:szCs w:val="22"/>
        </w:rPr>
        <w:t xml:space="preserve">Financial Statements Guidance Attachment I, </w:t>
      </w:r>
      <w:r w:rsidRPr="00FA2B78">
        <w:rPr>
          <w:bCs/>
          <w:i/>
          <w:iCs/>
          <w:color w:val="161617"/>
          <w:sz w:val="22"/>
          <w:szCs w:val="22"/>
        </w:rPr>
        <w:t>Due Date Calendar,</w:t>
      </w:r>
      <w:r w:rsidRPr="00FA2B78">
        <w:rPr>
          <w:bCs/>
          <w:color w:val="161617"/>
          <w:sz w:val="22"/>
          <w:szCs w:val="22"/>
        </w:rPr>
        <w:t xml:space="preserve"> for due dates.</w:t>
      </w:r>
      <w:r w:rsidR="00357913" w:rsidRPr="00FA2B78">
        <w:rPr>
          <w:bCs/>
          <w:color w:val="161617"/>
          <w:sz w:val="22"/>
          <w:szCs w:val="22"/>
        </w:rPr>
        <w:t xml:space="preserve">  </w:t>
      </w:r>
    </w:p>
    <w:p w14:paraId="65C3F714" w14:textId="0DB47FE8" w:rsidR="00732BBE" w:rsidRPr="00FA2B78" w:rsidRDefault="00732BBE" w:rsidP="009C3C89">
      <w:pPr>
        <w:tabs>
          <w:tab w:val="left" w:pos="-1080"/>
          <w:tab w:val="left" w:pos="-720"/>
          <w:tab w:val="left" w:pos="0"/>
          <w:tab w:val="left" w:pos="990"/>
          <w:tab w:val="left" w:pos="1440"/>
          <w:tab w:val="left" w:pos="1890"/>
          <w:tab w:val="left" w:pos="2520"/>
          <w:tab w:val="left" w:pos="3240"/>
          <w:tab w:val="left" w:pos="3960"/>
          <w:tab w:val="left" w:pos="4680"/>
          <w:tab w:val="left" w:pos="8640"/>
        </w:tabs>
        <w:rPr>
          <w:color w:val="161617"/>
          <w:sz w:val="22"/>
          <w:szCs w:val="22"/>
        </w:rPr>
      </w:pPr>
      <w:r w:rsidRPr="00FA2B78">
        <w:rPr>
          <w:color w:val="161617"/>
          <w:sz w:val="22"/>
          <w:szCs w:val="22"/>
        </w:rPr>
        <w:t xml:space="preserve">OFM will monitor bureaus’ submissions against the due dates. </w:t>
      </w:r>
      <w:r w:rsidR="00542327" w:rsidRPr="00FA2B78">
        <w:rPr>
          <w:color w:val="161617"/>
          <w:sz w:val="22"/>
          <w:szCs w:val="22"/>
        </w:rPr>
        <w:t xml:space="preserve"> </w:t>
      </w:r>
      <w:r w:rsidRPr="00FA2B78">
        <w:rPr>
          <w:color w:val="161617"/>
          <w:sz w:val="22"/>
          <w:szCs w:val="22"/>
        </w:rPr>
        <w:t>A deadline may be considered not met if the data is incomplete or inaccurate.</w:t>
      </w:r>
    </w:p>
    <w:p w14:paraId="29EAAD82" w14:textId="77777777" w:rsidR="00732BBE" w:rsidRPr="00FA2B78" w:rsidRDefault="00732BBE" w:rsidP="009C3C89">
      <w:pPr>
        <w:tabs>
          <w:tab w:val="left" w:pos="-1080"/>
          <w:tab w:val="left" w:pos="-720"/>
          <w:tab w:val="left" w:pos="0"/>
          <w:tab w:val="left" w:pos="990"/>
          <w:tab w:val="left" w:pos="1440"/>
          <w:tab w:val="left" w:pos="1890"/>
          <w:tab w:val="left" w:pos="2520"/>
          <w:tab w:val="left" w:pos="3240"/>
          <w:tab w:val="left" w:pos="3960"/>
          <w:tab w:val="left" w:pos="4680"/>
          <w:tab w:val="left" w:pos="8640"/>
        </w:tabs>
        <w:rPr>
          <w:color w:val="161617"/>
          <w:sz w:val="22"/>
          <w:szCs w:val="22"/>
        </w:rPr>
      </w:pPr>
    </w:p>
    <w:p w14:paraId="2B0F15A4" w14:textId="22510A1D" w:rsidR="00732BBE" w:rsidRPr="00FA2B78" w:rsidRDefault="00732BBE" w:rsidP="009C3C89">
      <w:pPr>
        <w:pStyle w:val="Heading4"/>
        <w:spacing w:before="0" w:after="0"/>
        <w:rPr>
          <w:rFonts w:ascii="Times New Roman" w:hAnsi="Times New Roman"/>
          <w:sz w:val="22"/>
          <w:szCs w:val="22"/>
        </w:rPr>
      </w:pPr>
      <w:r w:rsidRPr="00FA2B78">
        <w:rPr>
          <w:rFonts w:ascii="Times New Roman" w:hAnsi="Times New Roman"/>
          <w:sz w:val="22"/>
          <w:szCs w:val="22"/>
        </w:rPr>
        <w:t>V</w:t>
      </w:r>
      <w:r w:rsidR="00096EEA" w:rsidRPr="00FA2B78">
        <w:rPr>
          <w:rFonts w:ascii="Times New Roman" w:hAnsi="Times New Roman"/>
          <w:sz w:val="22"/>
          <w:szCs w:val="22"/>
        </w:rPr>
        <w:t>I</w:t>
      </w:r>
      <w:r w:rsidR="00AC3A7F" w:rsidRPr="00FA2B78">
        <w:rPr>
          <w:rFonts w:ascii="Times New Roman" w:hAnsi="Times New Roman"/>
          <w:sz w:val="22"/>
          <w:szCs w:val="22"/>
        </w:rPr>
        <w:t xml:space="preserve">. </w:t>
      </w:r>
      <w:r w:rsidRPr="00FA2B78">
        <w:rPr>
          <w:rFonts w:ascii="Times New Roman" w:hAnsi="Times New Roman"/>
          <w:sz w:val="22"/>
          <w:szCs w:val="22"/>
        </w:rPr>
        <w:t>OFM Contact</w:t>
      </w:r>
      <w:r w:rsidR="00FF4755" w:rsidRPr="00FA2B78">
        <w:rPr>
          <w:rFonts w:ascii="Times New Roman" w:hAnsi="Times New Roman"/>
          <w:sz w:val="22"/>
          <w:szCs w:val="22"/>
        </w:rPr>
        <w:t>s</w:t>
      </w:r>
    </w:p>
    <w:p w14:paraId="7CBDFE01" w14:textId="77777777" w:rsidR="00732BBE" w:rsidRPr="00FA2B78" w:rsidRDefault="00732BBE" w:rsidP="009C3C89">
      <w:pPr>
        <w:widowControl/>
        <w:ind w:left="1440" w:hanging="720"/>
        <w:jc w:val="both"/>
        <w:rPr>
          <w:color w:val="161617"/>
          <w:sz w:val="22"/>
          <w:szCs w:val="22"/>
        </w:rPr>
      </w:pPr>
    </w:p>
    <w:p w14:paraId="1FC66CDE" w14:textId="69F4C799" w:rsidR="00732BBE" w:rsidRPr="00FA2B78" w:rsidRDefault="00732BBE" w:rsidP="009C3C89">
      <w:pPr>
        <w:widowControl/>
        <w:ind w:left="720" w:hanging="720"/>
        <w:jc w:val="both"/>
        <w:rPr>
          <w:color w:val="161617"/>
          <w:sz w:val="22"/>
          <w:szCs w:val="22"/>
        </w:rPr>
      </w:pPr>
      <w:r w:rsidRPr="00FA2B78">
        <w:rPr>
          <w:color w:val="161617"/>
          <w:sz w:val="22"/>
          <w:szCs w:val="22"/>
        </w:rPr>
        <w:t xml:space="preserve">Questions related to Attachment F </w:t>
      </w:r>
      <w:r w:rsidR="00542327" w:rsidRPr="00FA2B78">
        <w:rPr>
          <w:color w:val="161617"/>
          <w:sz w:val="22"/>
          <w:szCs w:val="22"/>
        </w:rPr>
        <w:t xml:space="preserve">may </w:t>
      </w:r>
      <w:r w:rsidRPr="00FA2B78">
        <w:rPr>
          <w:color w:val="161617"/>
          <w:sz w:val="22"/>
          <w:szCs w:val="22"/>
        </w:rPr>
        <w:t>be directed to:</w:t>
      </w:r>
    </w:p>
    <w:p w14:paraId="1A4B47E8" w14:textId="77777777" w:rsidR="00732BBE" w:rsidRPr="00FA2B78" w:rsidRDefault="00732BBE" w:rsidP="009C3C89">
      <w:pPr>
        <w:widowControl/>
        <w:ind w:left="1440" w:hanging="720"/>
        <w:jc w:val="both"/>
        <w:rPr>
          <w:color w:val="161617"/>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30"/>
        <w:gridCol w:w="2790"/>
      </w:tblGrid>
      <w:tr w:rsidR="00FA2B78" w:rsidRPr="00FA2B78" w14:paraId="5F992F29" w14:textId="77777777" w:rsidTr="006359E9">
        <w:trPr>
          <w:trHeight w:val="1012"/>
        </w:trPr>
        <w:tc>
          <w:tcPr>
            <w:tcW w:w="2610" w:type="dxa"/>
          </w:tcPr>
          <w:p w14:paraId="68AE6283" w14:textId="77777777" w:rsidR="00FA2B78" w:rsidRPr="00FA2B78" w:rsidRDefault="00FA2B78" w:rsidP="009C3C89">
            <w:pPr>
              <w:rPr>
                <w:color w:val="181818"/>
                <w:sz w:val="22"/>
                <w:szCs w:val="22"/>
              </w:rPr>
            </w:pPr>
            <w:r w:rsidRPr="00FA2B78">
              <w:rPr>
                <w:color w:val="181818"/>
                <w:sz w:val="22"/>
                <w:szCs w:val="22"/>
              </w:rPr>
              <w:t>Sean Smith - OFM</w:t>
            </w:r>
          </w:p>
          <w:p w14:paraId="050638F3" w14:textId="0FE3BBCB" w:rsidR="00FA2B78" w:rsidRPr="00FA2B78" w:rsidRDefault="00FA2B78" w:rsidP="009C3C89">
            <w:pPr>
              <w:pStyle w:val="WPBodyText"/>
              <w:jc w:val="left"/>
              <w:rPr>
                <w:snapToGrid w:val="0"/>
                <w:color w:val="161617"/>
                <w:szCs w:val="22"/>
              </w:rPr>
            </w:pPr>
            <w:r w:rsidRPr="00FA2B78">
              <w:rPr>
                <w:snapToGrid w:val="0"/>
                <w:color w:val="161617"/>
                <w:szCs w:val="22"/>
              </w:rPr>
              <w:t>Tel: (202) 482-</w:t>
            </w:r>
            <w:r w:rsidR="00C10328">
              <w:rPr>
                <w:snapToGrid w:val="0"/>
                <w:color w:val="161617"/>
                <w:szCs w:val="22"/>
              </w:rPr>
              <w:t>0785</w:t>
            </w:r>
          </w:p>
          <w:p w14:paraId="5AC37155" w14:textId="77777777" w:rsidR="00FA2B78" w:rsidRPr="00FA2B78" w:rsidRDefault="00FA2B78" w:rsidP="009C3C89">
            <w:pPr>
              <w:pStyle w:val="WPBodyText"/>
              <w:jc w:val="left"/>
              <w:rPr>
                <w:snapToGrid w:val="0"/>
                <w:color w:val="161617"/>
                <w:szCs w:val="22"/>
              </w:rPr>
            </w:pPr>
            <w:r w:rsidRPr="00FA2B78">
              <w:rPr>
                <w:snapToGrid w:val="0"/>
                <w:color w:val="161617"/>
                <w:szCs w:val="22"/>
              </w:rPr>
              <w:t xml:space="preserve">Fax: (202) 482-1992 </w:t>
            </w:r>
          </w:p>
          <w:p w14:paraId="7E2375D6" w14:textId="16DFA66B" w:rsidR="00FA2B78" w:rsidRPr="00FA2B78" w:rsidRDefault="00FA2B78" w:rsidP="009C3C89">
            <w:pPr>
              <w:pStyle w:val="WPBodyText"/>
              <w:jc w:val="left"/>
              <w:rPr>
                <w:color w:val="181818"/>
                <w:szCs w:val="22"/>
              </w:rPr>
            </w:pPr>
            <w:r w:rsidRPr="00FA2B78">
              <w:rPr>
                <w:snapToGrid w:val="0"/>
                <w:color w:val="161617"/>
                <w:szCs w:val="22"/>
              </w:rPr>
              <w:t xml:space="preserve">Email:  </w:t>
            </w:r>
            <w:hyperlink r:id="rId9" w:history="1">
              <w:r w:rsidRPr="00FA2B78">
                <w:rPr>
                  <w:rStyle w:val="Hyperlink"/>
                  <w:color w:val="0000FF"/>
                  <w:szCs w:val="22"/>
                </w:rPr>
                <w:t>SSmith@doc.gov</w:t>
              </w:r>
            </w:hyperlink>
          </w:p>
        </w:tc>
        <w:tc>
          <w:tcPr>
            <w:tcW w:w="630" w:type="dxa"/>
            <w:vAlign w:val="center"/>
          </w:tcPr>
          <w:p w14:paraId="3619B7D5" w14:textId="0A747D2D" w:rsidR="00FA2B78" w:rsidRPr="00FA2B78" w:rsidRDefault="00FA2B78" w:rsidP="009C3C89">
            <w:pPr>
              <w:pStyle w:val="WPBodyText"/>
              <w:jc w:val="center"/>
              <w:rPr>
                <w:color w:val="181818"/>
                <w:szCs w:val="22"/>
              </w:rPr>
            </w:pPr>
            <w:r w:rsidRPr="00FA2B78">
              <w:rPr>
                <w:snapToGrid w:val="0"/>
                <w:color w:val="161617"/>
                <w:szCs w:val="22"/>
              </w:rPr>
              <w:t>and</w:t>
            </w:r>
          </w:p>
        </w:tc>
        <w:tc>
          <w:tcPr>
            <w:tcW w:w="2790" w:type="dxa"/>
          </w:tcPr>
          <w:p w14:paraId="4318BD92" w14:textId="77777777" w:rsidR="00FA2B78" w:rsidRPr="00FA2B78" w:rsidRDefault="00FA2B78" w:rsidP="009C3C89">
            <w:pPr>
              <w:rPr>
                <w:color w:val="181818"/>
                <w:sz w:val="22"/>
                <w:szCs w:val="22"/>
              </w:rPr>
            </w:pPr>
            <w:r w:rsidRPr="00FA2B78">
              <w:rPr>
                <w:color w:val="181818"/>
                <w:sz w:val="22"/>
                <w:szCs w:val="22"/>
              </w:rPr>
              <w:t>Kristin Salzer - OFM</w:t>
            </w:r>
          </w:p>
          <w:p w14:paraId="272D4FCD" w14:textId="77777777" w:rsidR="00FA2B78" w:rsidRPr="00FA2B78" w:rsidRDefault="00FA2B78" w:rsidP="009C3C89">
            <w:pPr>
              <w:pStyle w:val="WPBodyText"/>
              <w:jc w:val="left"/>
              <w:rPr>
                <w:snapToGrid w:val="0"/>
                <w:color w:val="161617"/>
                <w:szCs w:val="22"/>
              </w:rPr>
            </w:pPr>
            <w:r w:rsidRPr="00FA2B78">
              <w:rPr>
                <w:snapToGrid w:val="0"/>
                <w:color w:val="161617"/>
                <w:szCs w:val="22"/>
              </w:rPr>
              <w:t>Tel: (202) 482-2715</w:t>
            </w:r>
          </w:p>
          <w:p w14:paraId="105B2313" w14:textId="77777777" w:rsidR="00FA2B78" w:rsidRPr="00FA2B78" w:rsidRDefault="00FA2B78" w:rsidP="009C3C89">
            <w:pPr>
              <w:pStyle w:val="WPBodyText"/>
              <w:jc w:val="left"/>
              <w:rPr>
                <w:snapToGrid w:val="0"/>
                <w:color w:val="161617"/>
                <w:szCs w:val="22"/>
              </w:rPr>
            </w:pPr>
            <w:r w:rsidRPr="00FA2B78">
              <w:rPr>
                <w:snapToGrid w:val="0"/>
                <w:color w:val="161617"/>
                <w:szCs w:val="22"/>
              </w:rPr>
              <w:t xml:space="preserve">Fax: (202) 482-1992 </w:t>
            </w:r>
          </w:p>
          <w:p w14:paraId="1BF9F783" w14:textId="135D3AD7" w:rsidR="00FA2B78" w:rsidRPr="00FA2B78" w:rsidRDefault="00FA2B78" w:rsidP="009C3C89">
            <w:pPr>
              <w:pStyle w:val="WPBodyText"/>
              <w:jc w:val="left"/>
              <w:rPr>
                <w:color w:val="181818"/>
                <w:szCs w:val="22"/>
              </w:rPr>
            </w:pPr>
            <w:r w:rsidRPr="00FA2B78">
              <w:rPr>
                <w:snapToGrid w:val="0"/>
                <w:color w:val="161617"/>
                <w:szCs w:val="22"/>
              </w:rPr>
              <w:t xml:space="preserve">E-mail: </w:t>
            </w:r>
            <w:hyperlink r:id="rId10" w:history="1">
              <w:r w:rsidRPr="00FA2B78">
                <w:rPr>
                  <w:snapToGrid w:val="0"/>
                  <w:color w:val="161617"/>
                  <w:szCs w:val="22"/>
                </w:rPr>
                <w:t xml:space="preserve"> </w:t>
              </w:r>
              <w:r w:rsidRPr="00FA2B78">
                <w:rPr>
                  <w:color w:val="0000FF"/>
                  <w:szCs w:val="22"/>
                </w:rPr>
                <w:t>KSalzer@doc.gov</w:t>
              </w:r>
            </w:hyperlink>
          </w:p>
        </w:tc>
      </w:tr>
    </w:tbl>
    <w:p w14:paraId="22757D2E" w14:textId="47C618C4" w:rsidR="00732BBE" w:rsidRPr="00FA2B78" w:rsidRDefault="00732BBE" w:rsidP="009C3C89">
      <w:pPr>
        <w:rPr>
          <w:color w:val="161617"/>
          <w:sz w:val="22"/>
          <w:szCs w:val="22"/>
        </w:rPr>
      </w:pPr>
    </w:p>
    <w:p w14:paraId="1050187E" w14:textId="77777777" w:rsidR="00732BBE" w:rsidRPr="00FA2B78" w:rsidRDefault="00732BBE" w:rsidP="009C3C89">
      <w:pPr>
        <w:rPr>
          <w:color w:val="161617"/>
          <w:sz w:val="22"/>
          <w:szCs w:val="22"/>
        </w:rPr>
      </w:pPr>
    </w:p>
    <w:p w14:paraId="6BC857E3" w14:textId="77777777" w:rsidR="00732BBE" w:rsidRPr="00FA2B78" w:rsidRDefault="00732BBE" w:rsidP="009C3C89">
      <w:pPr>
        <w:rPr>
          <w:color w:val="161617"/>
          <w:sz w:val="22"/>
          <w:szCs w:val="22"/>
        </w:rPr>
        <w:sectPr w:rsidR="00732BBE" w:rsidRPr="00FA2B78" w:rsidSect="00304D5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08" w:right="1440" w:bottom="1710" w:left="1440" w:header="1008" w:footer="1296" w:gutter="0"/>
          <w:cols w:space="720"/>
          <w:noEndnote/>
        </w:sectPr>
      </w:pPr>
    </w:p>
    <w:p w14:paraId="245E84CF" w14:textId="4122B866" w:rsidR="00FC0E69" w:rsidRPr="00FA2B78" w:rsidRDefault="00FC0E69" w:rsidP="009C3C89">
      <w:pPr>
        <w:pStyle w:val="Heading4"/>
        <w:spacing w:before="0" w:after="0"/>
        <w:rPr>
          <w:rFonts w:ascii="Times New Roman" w:hAnsi="Times New Roman"/>
          <w:sz w:val="22"/>
          <w:szCs w:val="22"/>
        </w:rPr>
      </w:pPr>
      <w:r w:rsidRPr="00FA2B78">
        <w:rPr>
          <w:rFonts w:ascii="Times New Roman" w:hAnsi="Times New Roman"/>
          <w:sz w:val="22"/>
          <w:szCs w:val="22"/>
        </w:rPr>
        <w:lastRenderedPageBreak/>
        <w:t>VII. Exhibit 1</w:t>
      </w:r>
    </w:p>
    <w:p w14:paraId="7D45BFF2" w14:textId="77777777" w:rsidR="00FC0E69" w:rsidRPr="00FA2B78" w:rsidRDefault="00FC0E69" w:rsidP="009C3C89">
      <w:pPr>
        <w:ind w:left="5040"/>
        <w:rPr>
          <w:color w:val="161617"/>
          <w:sz w:val="22"/>
          <w:szCs w:val="22"/>
        </w:rPr>
      </w:pPr>
    </w:p>
    <w:p w14:paraId="7FE08F8E" w14:textId="2598C6B0" w:rsidR="00F10D83" w:rsidRPr="00FA2B78" w:rsidRDefault="00A8646F" w:rsidP="009C3C89">
      <w:pPr>
        <w:ind w:left="5040"/>
        <w:rPr>
          <w:color w:val="161617"/>
          <w:sz w:val="22"/>
          <w:szCs w:val="22"/>
        </w:rPr>
      </w:pPr>
      <w:r w:rsidRPr="00FA2B78">
        <w:rPr>
          <w:color w:val="161617"/>
          <w:sz w:val="22"/>
          <w:szCs w:val="22"/>
        </w:rPr>
        <w:t>&lt;</w:t>
      </w:r>
      <w:r w:rsidR="00715C8D">
        <w:rPr>
          <w:color w:val="161617"/>
          <w:sz w:val="22"/>
          <w:szCs w:val="22"/>
        </w:rPr>
        <w:t>B</w:t>
      </w:r>
      <w:r w:rsidR="00EC05D3">
        <w:rPr>
          <w:color w:val="161617"/>
          <w:sz w:val="22"/>
          <w:szCs w:val="22"/>
        </w:rPr>
        <w:t>ureau’s</w:t>
      </w:r>
      <w:r w:rsidR="00F10D83" w:rsidRPr="00FA2B78">
        <w:rPr>
          <w:color w:val="161617"/>
          <w:sz w:val="22"/>
          <w:szCs w:val="22"/>
        </w:rPr>
        <w:t xml:space="preserve"> </w:t>
      </w:r>
      <w:r w:rsidR="00F10D83" w:rsidRPr="00EC05D3">
        <w:rPr>
          <w:color w:val="161617"/>
          <w:sz w:val="22"/>
          <w:szCs w:val="22"/>
          <w:u w:val="single"/>
        </w:rPr>
        <w:t>Letterhead</w:t>
      </w:r>
      <w:r w:rsidR="00F10D83" w:rsidRPr="00FA2B78">
        <w:rPr>
          <w:color w:val="161617"/>
          <w:sz w:val="22"/>
          <w:szCs w:val="22"/>
        </w:rPr>
        <w:t xml:space="preserve"> and </w:t>
      </w:r>
      <w:r w:rsidR="00F10D83" w:rsidRPr="00EC05D3">
        <w:rPr>
          <w:color w:val="161617"/>
          <w:sz w:val="22"/>
          <w:szCs w:val="22"/>
          <w:u w:val="single"/>
        </w:rPr>
        <w:t>Date</w:t>
      </w:r>
      <w:r w:rsidR="00F10D83" w:rsidRPr="00FA2B78">
        <w:rPr>
          <w:color w:val="161617"/>
          <w:sz w:val="22"/>
          <w:szCs w:val="22"/>
        </w:rPr>
        <w:t xml:space="preserve"> </w:t>
      </w:r>
      <w:r w:rsidR="00EC05D3">
        <w:rPr>
          <w:color w:val="161617"/>
          <w:sz w:val="22"/>
          <w:szCs w:val="22"/>
        </w:rPr>
        <w:t>s</w:t>
      </w:r>
      <w:r w:rsidR="00F10D83" w:rsidRPr="00FA2B78">
        <w:rPr>
          <w:color w:val="161617"/>
          <w:sz w:val="22"/>
          <w:szCs w:val="22"/>
        </w:rPr>
        <w:t>tamp</w:t>
      </w:r>
      <w:r w:rsidRPr="00FA2B78">
        <w:rPr>
          <w:color w:val="161617"/>
          <w:sz w:val="22"/>
          <w:szCs w:val="22"/>
        </w:rPr>
        <w:t>&gt;</w:t>
      </w:r>
    </w:p>
    <w:p w14:paraId="64F03099" w14:textId="53A4CC38" w:rsidR="00F10D83" w:rsidRDefault="00F10D83" w:rsidP="009C3C89">
      <w:pPr>
        <w:ind w:left="20"/>
        <w:rPr>
          <w:color w:val="161617"/>
          <w:sz w:val="22"/>
          <w:szCs w:val="22"/>
        </w:rPr>
      </w:pPr>
    </w:p>
    <w:p w14:paraId="743B6CB0" w14:textId="77777777" w:rsidR="00EC05D3" w:rsidRPr="00FA2B78" w:rsidRDefault="00EC05D3" w:rsidP="009C3C89">
      <w:pPr>
        <w:ind w:left="20"/>
        <w:rPr>
          <w:color w:val="161617"/>
          <w:sz w:val="22"/>
          <w:szCs w:val="22"/>
        </w:rPr>
      </w:pPr>
    </w:p>
    <w:p w14:paraId="17060003" w14:textId="29114954" w:rsidR="00784A53" w:rsidRPr="00FA2B78" w:rsidRDefault="00E93AD3" w:rsidP="009C3C89">
      <w:pPr>
        <w:pStyle w:val="section1text"/>
        <w:spacing w:before="0" w:beforeAutospacing="0" w:after="0" w:afterAutospacing="0"/>
        <w:rPr>
          <w:strike/>
          <w:color w:val="161617"/>
        </w:rPr>
      </w:pPr>
      <w:r w:rsidRPr="00FA2B78">
        <w:rPr>
          <w:color w:val="161617"/>
        </w:rPr>
        <w:t>Ste</w:t>
      </w:r>
      <w:r w:rsidR="00EA770C" w:rsidRPr="00FA2B78">
        <w:rPr>
          <w:color w:val="161617"/>
        </w:rPr>
        <w:t>phen</w:t>
      </w:r>
      <w:r w:rsidRPr="00FA2B78">
        <w:rPr>
          <w:color w:val="161617"/>
        </w:rPr>
        <w:t xml:space="preserve"> Kunze</w:t>
      </w:r>
    </w:p>
    <w:p w14:paraId="5C3B395F" w14:textId="0B14C96F" w:rsidR="00784A53" w:rsidRPr="00FA2B78" w:rsidRDefault="00784A53" w:rsidP="009C3C89">
      <w:pPr>
        <w:pStyle w:val="section1text"/>
        <w:spacing w:before="0" w:beforeAutospacing="0" w:after="0" w:afterAutospacing="0"/>
        <w:rPr>
          <w:color w:val="161617"/>
        </w:rPr>
      </w:pPr>
      <w:r w:rsidRPr="00FA2B78">
        <w:rPr>
          <w:color w:val="161617"/>
        </w:rPr>
        <w:t>Deputy Chief Financial Officer</w:t>
      </w:r>
    </w:p>
    <w:p w14:paraId="6714D9E3" w14:textId="07CEBA9D" w:rsidR="00784A53" w:rsidRPr="00FA2B78" w:rsidRDefault="00735DEE" w:rsidP="009C3C89">
      <w:pPr>
        <w:pStyle w:val="section1text"/>
        <w:tabs>
          <w:tab w:val="left" w:pos="540"/>
        </w:tabs>
        <w:spacing w:before="0" w:beforeAutospacing="0" w:after="0" w:afterAutospacing="0"/>
        <w:rPr>
          <w:color w:val="161617"/>
        </w:rPr>
      </w:pPr>
      <w:r w:rsidRPr="00FA2B78">
        <w:rPr>
          <w:color w:val="161617"/>
        </w:rPr>
        <w:t xml:space="preserve">  </w:t>
      </w:r>
      <w:r w:rsidR="00EE7412" w:rsidRPr="00FA2B78">
        <w:rPr>
          <w:color w:val="161617"/>
        </w:rPr>
        <w:tab/>
      </w:r>
      <w:r w:rsidR="00F27FDD" w:rsidRPr="00FA2B78">
        <w:rPr>
          <w:color w:val="161617"/>
        </w:rPr>
        <w:t>and Director</w:t>
      </w:r>
      <w:r w:rsidR="00784A53" w:rsidRPr="00FA2B78">
        <w:rPr>
          <w:color w:val="161617"/>
        </w:rPr>
        <w:t xml:space="preserve"> </w:t>
      </w:r>
      <w:r w:rsidR="00503198" w:rsidRPr="00FA2B78">
        <w:rPr>
          <w:color w:val="161617"/>
        </w:rPr>
        <w:t xml:space="preserve">of </w:t>
      </w:r>
      <w:r w:rsidR="00784A53" w:rsidRPr="00FA2B78">
        <w:rPr>
          <w:color w:val="161617"/>
        </w:rPr>
        <w:t>Financial Management</w:t>
      </w:r>
    </w:p>
    <w:p w14:paraId="25F7B448" w14:textId="77777777" w:rsidR="00784A53" w:rsidRPr="00FA2B78" w:rsidRDefault="00784A53" w:rsidP="009C3C89">
      <w:pPr>
        <w:pStyle w:val="section1text"/>
        <w:spacing w:before="0" w:beforeAutospacing="0" w:after="0" w:afterAutospacing="0"/>
        <w:rPr>
          <w:color w:val="161617"/>
        </w:rPr>
      </w:pPr>
      <w:r w:rsidRPr="00FA2B78">
        <w:rPr>
          <w:color w:val="161617"/>
        </w:rPr>
        <w:t>Department of Commerce</w:t>
      </w:r>
    </w:p>
    <w:p w14:paraId="3123CEBD" w14:textId="77777777" w:rsidR="000E33D5" w:rsidRPr="00FA2B78" w:rsidRDefault="00784A53" w:rsidP="009C3C89">
      <w:pPr>
        <w:pStyle w:val="section1text"/>
        <w:spacing w:before="0" w:beforeAutospacing="0" w:after="0" w:afterAutospacing="0"/>
        <w:rPr>
          <w:color w:val="161617"/>
        </w:rPr>
      </w:pPr>
      <w:r w:rsidRPr="00FA2B78">
        <w:rPr>
          <w:color w:val="161617"/>
        </w:rPr>
        <w:t>1401 Constitution Avenue, N</w:t>
      </w:r>
      <w:r w:rsidR="00033D35" w:rsidRPr="00FA2B78">
        <w:rPr>
          <w:color w:val="161617"/>
        </w:rPr>
        <w:t>.</w:t>
      </w:r>
      <w:r w:rsidRPr="00FA2B78">
        <w:rPr>
          <w:color w:val="161617"/>
        </w:rPr>
        <w:t>W</w:t>
      </w:r>
      <w:r w:rsidR="00033D35" w:rsidRPr="00FA2B78">
        <w:rPr>
          <w:color w:val="161617"/>
        </w:rPr>
        <w:t>.</w:t>
      </w:r>
      <w:r w:rsidRPr="00FA2B78">
        <w:rPr>
          <w:color w:val="161617"/>
        </w:rPr>
        <w:t xml:space="preserve"> </w:t>
      </w:r>
    </w:p>
    <w:p w14:paraId="2ACBE754" w14:textId="67D0E704" w:rsidR="00784A53" w:rsidRPr="00FA2B78" w:rsidRDefault="00EB0D90" w:rsidP="009C3C89">
      <w:pPr>
        <w:pStyle w:val="section1text"/>
        <w:spacing w:before="0" w:beforeAutospacing="0" w:after="0" w:afterAutospacing="0"/>
        <w:rPr>
          <w:color w:val="161617"/>
        </w:rPr>
      </w:pPr>
      <w:r w:rsidRPr="00FA2B78">
        <w:rPr>
          <w:color w:val="161617"/>
        </w:rPr>
        <w:t xml:space="preserve">Suite </w:t>
      </w:r>
      <w:r w:rsidR="00735DEE" w:rsidRPr="00FA2B78">
        <w:rPr>
          <w:color w:val="161617"/>
        </w:rPr>
        <w:t>D20</w:t>
      </w:r>
      <w:r w:rsidRPr="00FA2B78">
        <w:rPr>
          <w:color w:val="161617"/>
        </w:rPr>
        <w:t>0</w:t>
      </w:r>
    </w:p>
    <w:p w14:paraId="6B764BB1" w14:textId="00106FFD" w:rsidR="00784A53" w:rsidRPr="00FA2B78" w:rsidRDefault="00784A53" w:rsidP="009C3C89">
      <w:pPr>
        <w:pStyle w:val="section1text"/>
        <w:spacing w:before="0" w:beforeAutospacing="0" w:after="0" w:afterAutospacing="0"/>
        <w:rPr>
          <w:color w:val="161617"/>
        </w:rPr>
      </w:pPr>
      <w:r w:rsidRPr="00FA2B78">
        <w:rPr>
          <w:color w:val="161617"/>
        </w:rPr>
        <w:t>Washington, D.C.</w:t>
      </w:r>
      <w:r w:rsidR="00923D20" w:rsidRPr="00FA2B78">
        <w:rPr>
          <w:color w:val="161617"/>
        </w:rPr>
        <w:t xml:space="preserve"> </w:t>
      </w:r>
      <w:r w:rsidRPr="00FA2B78">
        <w:rPr>
          <w:color w:val="161617"/>
        </w:rPr>
        <w:t xml:space="preserve"> 20230</w:t>
      </w:r>
      <w:r w:rsidR="00EC05D3">
        <w:rPr>
          <w:color w:val="161617"/>
        </w:rPr>
        <w:t xml:space="preserve"> </w:t>
      </w:r>
    </w:p>
    <w:p w14:paraId="61470E58" w14:textId="77777777" w:rsidR="00532A35" w:rsidRPr="00FA2B78" w:rsidRDefault="00532A35" w:rsidP="009C3C89">
      <w:pPr>
        <w:ind w:left="810"/>
        <w:rPr>
          <w:color w:val="161617"/>
          <w:sz w:val="22"/>
          <w:szCs w:val="22"/>
        </w:rPr>
      </w:pPr>
      <w:bookmarkStart w:id="0" w:name="_Hlk10450377"/>
    </w:p>
    <w:bookmarkEnd w:id="0"/>
    <w:p w14:paraId="6F95642F" w14:textId="0D6DA5DA" w:rsidR="009C3C89" w:rsidRDefault="009C3C89" w:rsidP="009C3C89">
      <w:pPr>
        <w:rPr>
          <w:color w:val="161617"/>
          <w:sz w:val="22"/>
          <w:szCs w:val="22"/>
        </w:rPr>
      </w:pPr>
      <w:r>
        <w:rPr>
          <w:color w:val="161617"/>
          <w:sz w:val="22"/>
          <w:szCs w:val="22"/>
        </w:rPr>
        <w:t>Dear Mr. Kunze,</w:t>
      </w:r>
    </w:p>
    <w:p w14:paraId="6D776018" w14:textId="77777777" w:rsidR="009C3C89" w:rsidRDefault="009C3C89" w:rsidP="009C3C89">
      <w:pPr>
        <w:rPr>
          <w:color w:val="161617"/>
          <w:sz w:val="22"/>
          <w:szCs w:val="22"/>
        </w:rPr>
      </w:pPr>
    </w:p>
    <w:p w14:paraId="1B3269AF" w14:textId="56165406" w:rsidR="00FA2B78" w:rsidRPr="00FA2B78" w:rsidRDefault="00FA2B78" w:rsidP="009C3C89">
      <w:pPr>
        <w:rPr>
          <w:sz w:val="22"/>
          <w:szCs w:val="22"/>
        </w:rPr>
      </w:pPr>
      <w:r w:rsidRPr="00FA2B78">
        <w:rPr>
          <w:color w:val="161617"/>
          <w:sz w:val="22"/>
          <w:szCs w:val="22"/>
        </w:rPr>
        <w:t xml:space="preserve">We are providing this letter in connection with the audits </w:t>
      </w:r>
      <w:r w:rsidR="002A187F" w:rsidRPr="00FA2B78">
        <w:rPr>
          <w:sz w:val="22"/>
          <w:szCs w:val="22"/>
        </w:rPr>
        <w:t>of the consolidated balance sheets of U.S. Department of Commerce (Department) as of September 30, 202</w:t>
      </w:r>
      <w:r w:rsidR="00D06AA9">
        <w:rPr>
          <w:sz w:val="22"/>
          <w:szCs w:val="22"/>
        </w:rPr>
        <w:t>4</w:t>
      </w:r>
      <w:r w:rsidR="002A187F" w:rsidRPr="00FA2B78">
        <w:rPr>
          <w:sz w:val="22"/>
          <w:szCs w:val="22"/>
        </w:rPr>
        <w:t xml:space="preserve"> and 202</w:t>
      </w:r>
      <w:r w:rsidR="00D06AA9">
        <w:rPr>
          <w:sz w:val="22"/>
          <w:szCs w:val="22"/>
        </w:rPr>
        <w:t>3</w:t>
      </w:r>
      <w:r w:rsidR="002A187F" w:rsidRPr="00FA2B78">
        <w:rPr>
          <w:sz w:val="22"/>
          <w:szCs w:val="22"/>
        </w:rPr>
        <w:t xml:space="preserve">; the related consolidated statements of net cost and changes in net position; the combined statements of budgetary resources for each of the years then ended; and the related notes to the financial statements </w:t>
      </w:r>
      <w:r w:rsidR="002A187F" w:rsidRPr="009C3C89">
        <w:rPr>
          <w:color w:val="161617"/>
          <w:sz w:val="22"/>
          <w:szCs w:val="22"/>
        </w:rPr>
        <w:t>(hereinafter referred to collectively as “consolidated financial statements”)</w:t>
      </w:r>
      <w:r w:rsidR="002A187F" w:rsidRPr="009C3C89">
        <w:rPr>
          <w:sz w:val="22"/>
          <w:szCs w:val="22"/>
        </w:rPr>
        <w:t>,</w:t>
      </w:r>
      <w:r w:rsidR="002A187F" w:rsidRPr="00FA2B78">
        <w:rPr>
          <w:sz w:val="22"/>
          <w:szCs w:val="22"/>
        </w:rPr>
        <w:t xml:space="preserve"> for the purpose of expressing an opinion as to whether these consolidated financial statements present fairly, in all material respects, the financial position, net costs, changes in net position, and budgetary resources of the Department in accordance with U.S. generally accepted accounting principles (U.S. GAAP).</w:t>
      </w:r>
      <w:r w:rsidRPr="00FA2B78">
        <w:rPr>
          <w:sz w:val="22"/>
          <w:szCs w:val="22"/>
        </w:rPr>
        <w:t xml:space="preserve">  </w:t>
      </w:r>
    </w:p>
    <w:p w14:paraId="62DD2C62" w14:textId="77777777" w:rsidR="00FA2B78" w:rsidRPr="00FA2B78" w:rsidRDefault="00FA2B78" w:rsidP="009C3C89">
      <w:pPr>
        <w:rPr>
          <w:sz w:val="22"/>
          <w:szCs w:val="22"/>
        </w:rPr>
      </w:pPr>
    </w:p>
    <w:p w14:paraId="1AD47C91" w14:textId="47E4550C" w:rsidR="002A187F" w:rsidRPr="00FA2B78" w:rsidRDefault="002A187F" w:rsidP="009C3C89">
      <w:pPr>
        <w:rPr>
          <w:sz w:val="22"/>
          <w:szCs w:val="22"/>
        </w:rPr>
      </w:pPr>
      <w:r w:rsidRPr="00FA2B78">
        <w:rPr>
          <w:sz w:val="22"/>
          <w:szCs w:val="22"/>
        </w:rPr>
        <w:t>Certain representations in this letter are described as being limited to matters that are material</w:t>
      </w:r>
      <w:r w:rsidR="00FA2B78" w:rsidRPr="00FA2B78">
        <w:rPr>
          <w:sz w:val="22"/>
          <w:szCs w:val="22"/>
        </w:rPr>
        <w:t xml:space="preserve">.  </w:t>
      </w:r>
      <w:r w:rsidRPr="00FA2B78">
        <w:rPr>
          <w:sz w:val="22"/>
          <w:szCs w:val="22"/>
        </w:rPr>
        <w:t>Items are considered material, regardless of size, if they involve an omission or misstatement of accounting information that, in the light of surrounding circumstances, makes it probable that the judgment of a reasonable person relying on the information would be changed or influenced by the omission or misstatement.</w:t>
      </w:r>
      <w:r w:rsidR="00FA2B78" w:rsidRPr="00FA2B78">
        <w:rPr>
          <w:sz w:val="22"/>
          <w:szCs w:val="22"/>
        </w:rPr>
        <w:t xml:space="preserve">  </w:t>
      </w:r>
    </w:p>
    <w:p w14:paraId="672912A8" w14:textId="77777777" w:rsidR="00FA2B78" w:rsidRPr="00FA2B78" w:rsidRDefault="00FA2B78" w:rsidP="009C3C89">
      <w:pPr>
        <w:rPr>
          <w:sz w:val="22"/>
          <w:szCs w:val="22"/>
        </w:rPr>
      </w:pPr>
    </w:p>
    <w:p w14:paraId="64BB9845" w14:textId="10F1B5DE" w:rsidR="002A187F" w:rsidRPr="00FA2B78" w:rsidRDefault="002A187F" w:rsidP="009C3C89">
      <w:pPr>
        <w:rPr>
          <w:sz w:val="22"/>
          <w:szCs w:val="22"/>
        </w:rPr>
      </w:pPr>
      <w:r w:rsidRPr="00FA2B78">
        <w:rPr>
          <w:sz w:val="22"/>
          <w:szCs w:val="22"/>
        </w:rPr>
        <w:t>Except where otherwise stated below, immaterial matters less than $5.0 million collectively are not considered to be exceptions that require disclosure for the purpose of the following representations</w:t>
      </w:r>
      <w:r w:rsidR="00FA2B78" w:rsidRPr="00FA2B78">
        <w:rPr>
          <w:sz w:val="22"/>
          <w:szCs w:val="22"/>
        </w:rPr>
        <w:t xml:space="preserve">.  </w:t>
      </w:r>
      <w:r w:rsidRPr="00FA2B78">
        <w:rPr>
          <w:sz w:val="22"/>
          <w:szCs w:val="22"/>
        </w:rPr>
        <w:t>This amount is not necessarily indicative of amounts that would require adjustment to or disclosure in the consolidated financial statements</w:t>
      </w:r>
      <w:r w:rsidR="00FA2B78" w:rsidRPr="00FA2B78">
        <w:rPr>
          <w:sz w:val="22"/>
          <w:szCs w:val="22"/>
        </w:rPr>
        <w:t xml:space="preserve">.  </w:t>
      </w:r>
      <w:r w:rsidRPr="00FA2B78">
        <w:rPr>
          <w:sz w:val="22"/>
          <w:szCs w:val="22"/>
        </w:rPr>
        <w:t xml:space="preserve">Materiality limitations do not apply to representations not directly related to amounts included in the financial statements. </w:t>
      </w:r>
      <w:r w:rsidR="00754863" w:rsidRPr="00FA2B78">
        <w:rPr>
          <w:sz w:val="22"/>
          <w:szCs w:val="22"/>
        </w:rPr>
        <w:t xml:space="preserve"> </w:t>
      </w:r>
      <w:r w:rsidRPr="00FA2B78">
        <w:rPr>
          <w:sz w:val="22"/>
          <w:szCs w:val="22"/>
        </w:rPr>
        <w:t>This includes, but is not limited to, management’s acknowledgement of its responsibility for the fair presentation in the financial statements of financial position, net costs, changes in net position, and budgetary resources in conformity with U.S. GAAP; completeness of information; representations related to fraud and management’s responsibility for the design, implementation, and maintenance of internal control to prevent and detect fraud; compliance with laws and regulations, contracts and grant agreements; and illegal acts.</w:t>
      </w:r>
      <w:r w:rsidR="00754863" w:rsidRPr="00FA2B78">
        <w:rPr>
          <w:sz w:val="22"/>
          <w:szCs w:val="22"/>
        </w:rPr>
        <w:t xml:space="preserve"> </w:t>
      </w:r>
    </w:p>
    <w:p w14:paraId="76EBC8A1" w14:textId="77777777" w:rsidR="00754863" w:rsidRPr="00FA2B78" w:rsidRDefault="00754863" w:rsidP="009C3C89">
      <w:pPr>
        <w:rPr>
          <w:sz w:val="22"/>
          <w:szCs w:val="22"/>
        </w:rPr>
      </w:pPr>
    </w:p>
    <w:p w14:paraId="4DC1C8F8" w14:textId="77777777" w:rsidR="00934C07" w:rsidRPr="00934C07" w:rsidRDefault="00934C07" w:rsidP="00934C07">
      <w:pPr>
        <w:rPr>
          <w:sz w:val="22"/>
          <w:szCs w:val="22"/>
        </w:rPr>
      </w:pPr>
      <w:r w:rsidRPr="00934C07">
        <w:rPr>
          <w:sz w:val="22"/>
          <w:szCs w:val="22"/>
        </w:rPr>
        <w:t>We confirm, to the best of our knowledge and belief, having made such inquiries as we considered necessary for the purpose of appropriately informing ourselves, as of November xx, xxxx, the following representations made to you during your audits. These representations pertain to both years’ financial statements and update the representations we provided in the prior year.</w:t>
      </w:r>
    </w:p>
    <w:p w14:paraId="1E47AE2F" w14:textId="77777777" w:rsidR="00934C07" w:rsidRPr="00FA2B78" w:rsidRDefault="00934C07" w:rsidP="00934C07">
      <w:pPr>
        <w:rPr>
          <w:bCs/>
          <w:color w:val="0000FF"/>
          <w:sz w:val="22"/>
          <w:szCs w:val="22"/>
          <w:u w:val="single"/>
        </w:rPr>
      </w:pPr>
    </w:p>
    <w:p w14:paraId="4D8D0FEE" w14:textId="0DDEF800" w:rsidR="00754863" w:rsidRPr="00FA2B78" w:rsidRDefault="00754863" w:rsidP="009C3C89">
      <w:pPr>
        <w:rPr>
          <w:bCs/>
          <w:color w:val="0000FF"/>
          <w:sz w:val="22"/>
          <w:szCs w:val="22"/>
          <w:u w:val="single"/>
        </w:rPr>
      </w:pPr>
    </w:p>
    <w:p w14:paraId="3DDCD392" w14:textId="2CE36803" w:rsidR="009C3C89" w:rsidRDefault="009C3C89">
      <w:pPr>
        <w:widowControl/>
        <w:rPr>
          <w:bCs/>
          <w:color w:val="0000FF"/>
          <w:sz w:val="22"/>
          <w:szCs w:val="22"/>
          <w:u w:val="single"/>
        </w:rPr>
      </w:pPr>
      <w:r>
        <w:rPr>
          <w:bCs/>
          <w:color w:val="0000FF"/>
          <w:sz w:val="22"/>
          <w:szCs w:val="22"/>
          <w:u w:val="single"/>
        </w:rPr>
        <w:br w:type="page"/>
      </w:r>
    </w:p>
    <w:p w14:paraId="2B1A0426" w14:textId="77777777" w:rsidR="00754863" w:rsidRPr="00FA2B78" w:rsidRDefault="00754863" w:rsidP="009C3C89">
      <w:pPr>
        <w:rPr>
          <w:bCs/>
          <w:color w:val="0000FF"/>
          <w:sz w:val="22"/>
          <w:szCs w:val="22"/>
          <w:u w:val="single"/>
        </w:rPr>
      </w:pPr>
    </w:p>
    <w:p w14:paraId="3275F586" w14:textId="05E80252" w:rsidR="002A187F" w:rsidRPr="00621591" w:rsidRDefault="00621591" w:rsidP="009C3C89">
      <w:pPr>
        <w:rPr>
          <w:bCs/>
          <w:color w:val="FF0000"/>
          <w:sz w:val="22"/>
          <w:szCs w:val="22"/>
          <w:u w:val="single"/>
        </w:rPr>
      </w:pPr>
      <w:r w:rsidRPr="00621591">
        <w:rPr>
          <w:bCs/>
          <w:color w:val="FF0000"/>
          <w:sz w:val="22"/>
          <w:szCs w:val="22"/>
          <w:u w:val="single"/>
        </w:rPr>
        <w:t>SAMPLE</w:t>
      </w:r>
      <w:r>
        <w:rPr>
          <w:bCs/>
          <w:color w:val="000000" w:themeColor="text1"/>
          <w:sz w:val="22"/>
          <w:szCs w:val="22"/>
          <w:u w:val="single"/>
        </w:rPr>
        <w:t xml:space="preserve"> </w:t>
      </w:r>
      <w:r w:rsidR="002A187F" w:rsidRPr="00621591">
        <w:rPr>
          <w:bCs/>
          <w:color w:val="FF0000"/>
          <w:sz w:val="22"/>
          <w:szCs w:val="22"/>
          <w:u w:val="single"/>
        </w:rPr>
        <w:t>Representations</w:t>
      </w:r>
    </w:p>
    <w:p w14:paraId="1D1C4B0A" w14:textId="77777777" w:rsidR="002A187F" w:rsidRPr="00FA2B78" w:rsidRDefault="002A187F" w:rsidP="009C3C89">
      <w:pPr>
        <w:rPr>
          <w:b/>
          <w:color w:val="0000FF"/>
          <w:sz w:val="22"/>
          <w:szCs w:val="22"/>
        </w:rPr>
      </w:pPr>
    </w:p>
    <w:p w14:paraId="66E1888A" w14:textId="22AEDD3A" w:rsidR="002A187F" w:rsidRDefault="002A187F" w:rsidP="009C3C89">
      <w:pPr>
        <w:rPr>
          <w:color w:val="161617"/>
          <w:sz w:val="22"/>
          <w:szCs w:val="22"/>
        </w:rPr>
      </w:pPr>
      <w:bookmarkStart w:id="1" w:name="_Hlk120897764"/>
      <w:r w:rsidRPr="003A627B">
        <w:rPr>
          <w:b/>
          <w:color w:val="3B1CFF"/>
          <w:sz w:val="22"/>
          <w:szCs w:val="22"/>
        </w:rPr>
        <w:t>[Bureau]</w:t>
      </w:r>
      <w:bookmarkEnd w:id="1"/>
      <w:r w:rsidRPr="003A627B">
        <w:rPr>
          <w:color w:val="3B1CFF"/>
          <w:sz w:val="22"/>
          <w:szCs w:val="22"/>
        </w:rPr>
        <w:t xml:space="preserve"> </w:t>
      </w:r>
      <w:r w:rsidRPr="00FA2B78">
        <w:rPr>
          <w:color w:val="161617"/>
          <w:sz w:val="22"/>
          <w:szCs w:val="22"/>
        </w:rPr>
        <w:t xml:space="preserve">confirms that, to the best of our knowledge as of </w:t>
      </w:r>
      <w:r w:rsidR="009C3C89" w:rsidRPr="00A241CC">
        <w:rPr>
          <w:color w:val="000000" w:themeColor="text1"/>
          <w:sz w:val="22"/>
          <w:szCs w:val="22"/>
        </w:rPr>
        <w:t xml:space="preserve">November </w:t>
      </w:r>
      <w:r w:rsidR="00621591" w:rsidRPr="00621591">
        <w:rPr>
          <w:color w:val="3B1CFF"/>
          <w:sz w:val="22"/>
          <w:szCs w:val="22"/>
        </w:rPr>
        <w:t>XX</w:t>
      </w:r>
      <w:r w:rsidR="009C3C89" w:rsidRPr="00621591">
        <w:rPr>
          <w:color w:val="3B1CFF"/>
          <w:sz w:val="22"/>
          <w:szCs w:val="22"/>
        </w:rPr>
        <w:t>, 20</w:t>
      </w:r>
      <w:r w:rsidR="00621591" w:rsidRPr="00621591">
        <w:rPr>
          <w:color w:val="3B1CFF"/>
          <w:sz w:val="22"/>
          <w:szCs w:val="22"/>
        </w:rPr>
        <w:t>XX</w:t>
      </w:r>
      <w:r w:rsidRPr="00FA2B78">
        <w:rPr>
          <w:color w:val="161617"/>
          <w:sz w:val="22"/>
          <w:szCs w:val="22"/>
        </w:rPr>
        <w:t xml:space="preserve"> the following representations made to you during your audits:</w:t>
      </w:r>
      <w:r w:rsidR="00FA2B78">
        <w:rPr>
          <w:color w:val="161617"/>
          <w:sz w:val="22"/>
          <w:szCs w:val="22"/>
        </w:rPr>
        <w:t xml:space="preserve">  </w:t>
      </w:r>
    </w:p>
    <w:p w14:paraId="6AE0760D" w14:textId="77777777" w:rsidR="00FA2B78" w:rsidRPr="00FA2B78" w:rsidRDefault="00FA2B78" w:rsidP="009C3C89">
      <w:pPr>
        <w:rPr>
          <w:color w:val="161617"/>
          <w:sz w:val="22"/>
          <w:szCs w:val="22"/>
        </w:rPr>
      </w:pPr>
    </w:p>
    <w:p w14:paraId="754007DF" w14:textId="340813D5" w:rsidR="002A187F" w:rsidRPr="00FA2B78" w:rsidRDefault="002A187F" w:rsidP="009C3C89">
      <w:pPr>
        <w:pStyle w:val="LTNumber1"/>
        <w:tabs>
          <w:tab w:val="left" w:pos="880"/>
        </w:tabs>
        <w:spacing w:after="0"/>
        <w:ind w:left="360" w:hanging="360"/>
        <w:jc w:val="left"/>
      </w:pPr>
      <w:r w:rsidRPr="00FA2B78">
        <w:t>Our bureau has fulfilled its responsibilities, as set out in the terms of the audit engagement letter dated</w:t>
      </w:r>
      <w:r w:rsidRPr="000768D7">
        <w:rPr>
          <w:snapToGrid w:val="0"/>
          <w:color w:val="3B1CFF"/>
        </w:rPr>
        <w:t xml:space="preserve"> </w:t>
      </w:r>
      <w:r w:rsidR="009C3C89" w:rsidRPr="000768D7">
        <w:rPr>
          <w:snapToGrid w:val="0"/>
          <w:color w:val="3B1CFF"/>
        </w:rPr>
        <w:t>Mmm dd, 20</w:t>
      </w:r>
      <w:r w:rsidR="000768D7" w:rsidRPr="000768D7">
        <w:rPr>
          <w:snapToGrid w:val="0"/>
          <w:color w:val="3B1CFF"/>
        </w:rPr>
        <w:t>XX</w:t>
      </w:r>
      <w:r w:rsidRPr="00FA2B78">
        <w:t>, for the preparation and fair presentation of the consolidated financial statements in accordance with U.S. GAAP.</w:t>
      </w:r>
      <w:r w:rsidR="00754863" w:rsidRPr="00FA2B78">
        <w:t xml:space="preserve">  </w:t>
      </w:r>
    </w:p>
    <w:p w14:paraId="5F8F5F26" w14:textId="77777777" w:rsidR="00754863" w:rsidRPr="00FA2B78" w:rsidRDefault="00754863" w:rsidP="009C3C89">
      <w:pPr>
        <w:pStyle w:val="LTNumber1"/>
        <w:numPr>
          <w:ilvl w:val="0"/>
          <w:numId w:val="0"/>
        </w:numPr>
        <w:tabs>
          <w:tab w:val="left" w:pos="880"/>
        </w:tabs>
        <w:spacing w:after="0"/>
        <w:jc w:val="left"/>
      </w:pPr>
    </w:p>
    <w:p w14:paraId="347AEBE0" w14:textId="390FC6D9" w:rsidR="002A187F" w:rsidRPr="00FA2B78" w:rsidRDefault="002A187F" w:rsidP="009C3C89">
      <w:pPr>
        <w:pStyle w:val="LTNumber1"/>
        <w:tabs>
          <w:tab w:val="left" w:pos="880"/>
        </w:tabs>
        <w:spacing w:after="0"/>
        <w:ind w:left="360" w:hanging="360"/>
        <w:jc w:val="left"/>
      </w:pPr>
      <w:r w:rsidRPr="00FA2B78">
        <w:t>Our bureau has disclosed all accounting policies and practices adopted that, if applied to significant items or transactions, would not be in accordance with U.S. GAAP and has evaluated the impact of the application of each such policy and practice, both individually and in the aggregate, on the Department’s current period consolidated financial statements and our assessment of internal control over financial reporting, and the expected impact of each such policy and practice on future periods’ financial reporting. We believe the effect of these policies and practices on the consolidated financial statements and our assessment of internal control over financial reporting is not material and do not deem the impact of the application of these policies and practices to be material to the consolidated financial statements in future periods.</w:t>
      </w:r>
      <w:r w:rsidR="00754863" w:rsidRPr="00FA2B78">
        <w:t xml:space="preserve">  </w:t>
      </w:r>
    </w:p>
    <w:p w14:paraId="2D4C3C4D" w14:textId="77777777" w:rsidR="00754863" w:rsidRPr="00FA2B78" w:rsidRDefault="00754863" w:rsidP="009C3C89">
      <w:pPr>
        <w:pStyle w:val="LTNumber1"/>
        <w:numPr>
          <w:ilvl w:val="0"/>
          <w:numId w:val="0"/>
        </w:numPr>
        <w:tabs>
          <w:tab w:val="left" w:pos="880"/>
        </w:tabs>
        <w:spacing w:after="0"/>
        <w:jc w:val="left"/>
      </w:pPr>
    </w:p>
    <w:p w14:paraId="6AB7BF92" w14:textId="7ADD2539" w:rsidR="002A187F" w:rsidRPr="00FA2B78" w:rsidRDefault="002A187F" w:rsidP="009C3C89">
      <w:pPr>
        <w:pStyle w:val="LTNumber1"/>
        <w:tabs>
          <w:tab w:val="left" w:pos="880"/>
        </w:tabs>
        <w:spacing w:after="0"/>
        <w:ind w:left="360" w:hanging="360"/>
        <w:jc w:val="left"/>
      </w:pPr>
      <w:r w:rsidRPr="00FA2B78">
        <w:t>Our bureau has properly recorded or disclosed in the consolidated</w:t>
      </w:r>
      <w:r w:rsidRPr="00FA2B78">
        <w:rPr>
          <w:vertAlign w:val="superscript"/>
        </w:rPr>
        <w:t xml:space="preserve"> </w:t>
      </w:r>
      <w:r w:rsidRPr="00FA2B78">
        <w:t xml:space="preserve"> financial statements the changes in accounting principle that affect the consistency of the consolidated financial statements between the periods presented.</w:t>
      </w:r>
      <w:r w:rsidR="00754863" w:rsidRPr="00FA2B78">
        <w:t xml:space="preserve">  </w:t>
      </w:r>
    </w:p>
    <w:p w14:paraId="10E9E25D" w14:textId="77777777" w:rsidR="00754863" w:rsidRPr="00FA2B78" w:rsidRDefault="00754863" w:rsidP="009C3C89">
      <w:pPr>
        <w:pStyle w:val="LTNumber1"/>
        <w:numPr>
          <w:ilvl w:val="0"/>
          <w:numId w:val="0"/>
        </w:numPr>
        <w:tabs>
          <w:tab w:val="left" w:pos="880"/>
        </w:tabs>
        <w:spacing w:after="0"/>
        <w:jc w:val="left"/>
      </w:pPr>
    </w:p>
    <w:p w14:paraId="263D4405" w14:textId="6C7BC598" w:rsidR="002A187F" w:rsidRPr="00FA2B78" w:rsidRDefault="003A627B" w:rsidP="009C3C89">
      <w:pPr>
        <w:pStyle w:val="LTNumber1"/>
        <w:tabs>
          <w:tab w:val="left" w:pos="880"/>
        </w:tabs>
        <w:spacing w:after="0"/>
        <w:ind w:left="360" w:hanging="360"/>
        <w:jc w:val="left"/>
      </w:pPr>
      <w:r w:rsidRPr="003A627B">
        <w:rPr>
          <w:b/>
          <w:color w:val="3B1CFF"/>
        </w:rPr>
        <w:t>[Bureau]</w:t>
      </w:r>
      <w:r w:rsidR="002A187F" w:rsidRPr="00FA2B78">
        <w:t xml:space="preserve"> has made available:  </w:t>
      </w:r>
    </w:p>
    <w:p w14:paraId="17673096" w14:textId="4E73A524" w:rsidR="002A187F" w:rsidRPr="00FA2B78" w:rsidRDefault="002A187F" w:rsidP="009C3C89">
      <w:pPr>
        <w:pStyle w:val="LTNormalInd"/>
        <w:numPr>
          <w:ilvl w:val="0"/>
          <w:numId w:val="5"/>
        </w:numPr>
        <w:tabs>
          <w:tab w:val="left" w:pos="810"/>
          <w:tab w:val="left" w:pos="5940"/>
        </w:tabs>
        <w:spacing w:after="0"/>
        <w:ind w:left="1080" w:hanging="540"/>
        <w:jc w:val="left"/>
        <w:rPr>
          <w:szCs w:val="22"/>
        </w:rPr>
      </w:pPr>
      <w:r w:rsidRPr="00FA2B78">
        <w:rPr>
          <w:szCs w:val="22"/>
        </w:rPr>
        <w:t>All records, documentation, and information that is relevant to the preparation and fair presentation of the consolidated financial statements;</w:t>
      </w:r>
      <w:r w:rsidR="009C3C89">
        <w:rPr>
          <w:szCs w:val="22"/>
        </w:rPr>
        <w:t xml:space="preserve"> </w:t>
      </w:r>
    </w:p>
    <w:p w14:paraId="6CBFA9E1" w14:textId="77777777" w:rsidR="002A187F" w:rsidRPr="00FA2B78" w:rsidRDefault="002A187F" w:rsidP="009C3C89">
      <w:pPr>
        <w:pStyle w:val="LTNormalInd"/>
        <w:numPr>
          <w:ilvl w:val="0"/>
          <w:numId w:val="5"/>
        </w:numPr>
        <w:tabs>
          <w:tab w:val="left" w:pos="810"/>
          <w:tab w:val="left" w:pos="5940"/>
        </w:tabs>
        <w:spacing w:after="0"/>
        <w:ind w:left="1080" w:hanging="540"/>
        <w:jc w:val="left"/>
        <w:rPr>
          <w:szCs w:val="22"/>
        </w:rPr>
      </w:pPr>
      <w:r w:rsidRPr="00FA2B78">
        <w:rPr>
          <w:szCs w:val="22"/>
        </w:rPr>
        <w:t xml:space="preserve">All additional information that has been requested for the purpose of the audits, </w:t>
      </w:r>
    </w:p>
    <w:p w14:paraId="0FE51035" w14:textId="45932607" w:rsidR="002A187F" w:rsidRPr="00FA2B78" w:rsidRDefault="002A187F" w:rsidP="009C3C89">
      <w:pPr>
        <w:pStyle w:val="LTNormalInd"/>
        <w:numPr>
          <w:ilvl w:val="0"/>
          <w:numId w:val="5"/>
        </w:numPr>
        <w:tabs>
          <w:tab w:val="left" w:pos="810"/>
          <w:tab w:val="left" w:pos="5940"/>
        </w:tabs>
        <w:spacing w:after="0"/>
        <w:ind w:left="1080" w:hanging="540"/>
        <w:jc w:val="left"/>
        <w:rPr>
          <w:szCs w:val="22"/>
        </w:rPr>
      </w:pPr>
      <w:r w:rsidRPr="00FA2B78">
        <w:rPr>
          <w:szCs w:val="22"/>
        </w:rPr>
        <w:t>Unrestricted access and the full cooperation of personnel within the bureau to obtain audit evidence; and</w:t>
      </w:r>
      <w:r w:rsidR="009C3C89">
        <w:rPr>
          <w:szCs w:val="22"/>
        </w:rPr>
        <w:t xml:space="preserve"> </w:t>
      </w:r>
    </w:p>
    <w:p w14:paraId="61AB7148" w14:textId="0D3B9E47" w:rsidR="002A187F" w:rsidRPr="00FA2B78" w:rsidRDefault="002A187F" w:rsidP="009C3C89">
      <w:pPr>
        <w:pStyle w:val="LTNormalInd"/>
        <w:numPr>
          <w:ilvl w:val="0"/>
          <w:numId w:val="5"/>
        </w:numPr>
        <w:tabs>
          <w:tab w:val="left" w:pos="810"/>
          <w:tab w:val="left" w:pos="5940"/>
        </w:tabs>
        <w:spacing w:after="0"/>
        <w:ind w:left="1080" w:hanging="540"/>
        <w:jc w:val="left"/>
        <w:rPr>
          <w:szCs w:val="22"/>
        </w:rPr>
      </w:pPr>
      <w:r w:rsidRPr="00FA2B78">
        <w:rPr>
          <w:szCs w:val="22"/>
        </w:rPr>
        <w:t>All reports from this bureau’s service and subservice organizations.</w:t>
      </w:r>
      <w:r w:rsidR="00754863" w:rsidRPr="00FA2B78">
        <w:rPr>
          <w:szCs w:val="22"/>
        </w:rPr>
        <w:t xml:space="preserve">  </w:t>
      </w:r>
    </w:p>
    <w:p w14:paraId="4333D03A" w14:textId="77777777" w:rsidR="00754863" w:rsidRPr="00FA2B78" w:rsidRDefault="00754863" w:rsidP="009C3C89">
      <w:pPr>
        <w:pStyle w:val="LTNormalInd"/>
        <w:tabs>
          <w:tab w:val="left" w:pos="810"/>
          <w:tab w:val="left" w:pos="5940"/>
        </w:tabs>
        <w:spacing w:after="0"/>
        <w:ind w:left="0"/>
        <w:jc w:val="left"/>
        <w:rPr>
          <w:szCs w:val="22"/>
        </w:rPr>
      </w:pPr>
    </w:p>
    <w:p w14:paraId="0925C18F" w14:textId="77777777" w:rsidR="002A187F" w:rsidRPr="00FA2B78" w:rsidRDefault="002A187F" w:rsidP="009C3C89">
      <w:pPr>
        <w:pStyle w:val="LTNumber1"/>
        <w:tabs>
          <w:tab w:val="left" w:pos="880"/>
        </w:tabs>
        <w:spacing w:after="0"/>
        <w:ind w:left="360" w:hanging="360"/>
        <w:jc w:val="left"/>
      </w:pPr>
      <w:r w:rsidRPr="00FA2B78">
        <w:t>Except as disclosed to you in writing, there have been no:</w:t>
      </w:r>
    </w:p>
    <w:p w14:paraId="087F3BBB" w14:textId="77777777" w:rsidR="002A187F" w:rsidRPr="00FA2B78" w:rsidRDefault="002A187F" w:rsidP="009C3C89">
      <w:pPr>
        <w:pStyle w:val="LTNormalInd"/>
        <w:numPr>
          <w:ilvl w:val="0"/>
          <w:numId w:val="6"/>
        </w:numPr>
        <w:tabs>
          <w:tab w:val="left" w:pos="810"/>
          <w:tab w:val="left" w:pos="5940"/>
        </w:tabs>
        <w:spacing w:after="0"/>
        <w:ind w:left="1080" w:hanging="540"/>
        <w:jc w:val="left"/>
        <w:rPr>
          <w:szCs w:val="22"/>
        </w:rPr>
      </w:pPr>
      <w:r w:rsidRPr="00FA2B78">
        <w:rPr>
          <w:szCs w:val="22"/>
        </w:rPr>
        <w:t>Circumstances that have resulted in communications from our bureau, in general, or from legal counsel reporting evidence of a material violation of law or breach of fiduciary duty, or similar violations by our bureau or any agent thereof.</w:t>
      </w:r>
    </w:p>
    <w:p w14:paraId="142331EE" w14:textId="4E092AE1" w:rsidR="002A187F" w:rsidRPr="00FA2B78" w:rsidRDefault="002A187F" w:rsidP="009C3C89">
      <w:pPr>
        <w:pStyle w:val="LTNormalInd"/>
        <w:numPr>
          <w:ilvl w:val="0"/>
          <w:numId w:val="6"/>
        </w:numPr>
        <w:tabs>
          <w:tab w:val="left" w:pos="810"/>
          <w:tab w:val="left" w:pos="5940"/>
        </w:tabs>
        <w:spacing w:after="0"/>
        <w:ind w:left="1080" w:hanging="540"/>
        <w:jc w:val="left"/>
        <w:rPr>
          <w:szCs w:val="22"/>
        </w:rPr>
      </w:pPr>
      <w:r w:rsidRPr="00FA2B78">
        <w:rPr>
          <w:szCs w:val="22"/>
        </w:rPr>
        <w:t>Communications from regulatory/oversight agencies, such as U.S Office of Management and Budget (OMB) and U.S Government Accountability Office (GAO); other governmental entities or agencies; governmental representatives or employees; or others concerning investigations or allegations of noncompliance with laws or regulations, deficiencies in financial reporting practices, or other matters that could have a material adverse effect on the consolidated financial statements and Required Supplementary Information (RSI).</w:t>
      </w:r>
      <w:r w:rsidR="00754863" w:rsidRPr="00FA2B78">
        <w:rPr>
          <w:szCs w:val="22"/>
        </w:rPr>
        <w:t xml:space="preserve">  </w:t>
      </w:r>
    </w:p>
    <w:p w14:paraId="50BEE5DC" w14:textId="77777777" w:rsidR="00754863" w:rsidRPr="00FA2B78" w:rsidRDefault="00754863" w:rsidP="009C3C89">
      <w:pPr>
        <w:pStyle w:val="LTNormalInd"/>
        <w:tabs>
          <w:tab w:val="left" w:pos="810"/>
          <w:tab w:val="left" w:pos="5940"/>
        </w:tabs>
        <w:spacing w:after="0"/>
        <w:ind w:left="0"/>
        <w:jc w:val="left"/>
        <w:rPr>
          <w:szCs w:val="22"/>
        </w:rPr>
      </w:pPr>
    </w:p>
    <w:p w14:paraId="253F2565" w14:textId="62ACBBD0" w:rsidR="002A187F" w:rsidRPr="00FA2B78" w:rsidRDefault="009C3C89" w:rsidP="009C3C89">
      <w:pPr>
        <w:pStyle w:val="LTNumber1"/>
        <w:tabs>
          <w:tab w:val="left" w:pos="880"/>
        </w:tabs>
        <w:spacing w:after="0"/>
        <w:ind w:left="360" w:hanging="360"/>
        <w:jc w:val="left"/>
      </w:pPr>
      <w:r>
        <w:t>Our bureau</w:t>
      </w:r>
      <w:r w:rsidR="002A187F" w:rsidRPr="00FA2B78">
        <w:t xml:space="preserve"> has identified, disclosed, and accepts compliance responsibility for all applicable laws, regulations, contracts, and grant agreements, with the acknowledgment that noncompliance could have a material effect on the consolidated financial statements.</w:t>
      </w:r>
      <w:r w:rsidR="00754863" w:rsidRPr="00FA2B78">
        <w:t xml:space="preserve">  </w:t>
      </w:r>
    </w:p>
    <w:p w14:paraId="0BF3B464" w14:textId="77777777" w:rsidR="00754863" w:rsidRPr="00FA2B78" w:rsidRDefault="00754863" w:rsidP="009C3C89">
      <w:pPr>
        <w:pStyle w:val="LTNumber1"/>
        <w:numPr>
          <w:ilvl w:val="0"/>
          <w:numId w:val="0"/>
        </w:numPr>
        <w:tabs>
          <w:tab w:val="left" w:pos="880"/>
        </w:tabs>
        <w:spacing w:after="0"/>
        <w:jc w:val="left"/>
      </w:pPr>
    </w:p>
    <w:p w14:paraId="028A546F" w14:textId="5F469545" w:rsidR="002A187F" w:rsidRPr="00FA2B78" w:rsidRDefault="00FA2B78" w:rsidP="009C3C89">
      <w:pPr>
        <w:pStyle w:val="LTNumber1"/>
        <w:tabs>
          <w:tab w:val="left" w:pos="880"/>
        </w:tabs>
        <w:spacing w:after="0"/>
        <w:ind w:left="360" w:hanging="360"/>
        <w:jc w:val="left"/>
      </w:pPr>
      <w:r>
        <w:t xml:space="preserve">Our bureau </w:t>
      </w:r>
      <w:r w:rsidR="002A187F" w:rsidRPr="00FA2B78">
        <w:t xml:space="preserve">is responsible for implementing and maintaining financial management systems that comply substantially with Federal financial management systems requirements, Federal </w:t>
      </w:r>
      <w:r w:rsidR="002A187F" w:rsidRPr="00FA2B78">
        <w:lastRenderedPageBreak/>
        <w:t>accounting standards (U.S. GAAP), and application of the U.S. Government Standard General Ledger at the transaction level.</w:t>
      </w:r>
      <w:r w:rsidR="00754863" w:rsidRPr="00FA2B78">
        <w:t xml:space="preserve">  </w:t>
      </w:r>
    </w:p>
    <w:p w14:paraId="79DC5A04" w14:textId="77777777" w:rsidR="00754863" w:rsidRPr="00FA2B78" w:rsidRDefault="00754863" w:rsidP="009C3C89">
      <w:pPr>
        <w:pStyle w:val="LTNumber1"/>
        <w:numPr>
          <w:ilvl w:val="0"/>
          <w:numId w:val="0"/>
        </w:numPr>
        <w:tabs>
          <w:tab w:val="left" w:pos="880"/>
        </w:tabs>
        <w:spacing w:after="0"/>
        <w:jc w:val="left"/>
      </w:pPr>
    </w:p>
    <w:p w14:paraId="0FD5D768" w14:textId="3B8320AE" w:rsidR="002A187F" w:rsidRPr="00FA2B78" w:rsidRDefault="003A627B" w:rsidP="009C3C89">
      <w:pPr>
        <w:pStyle w:val="LTNumber1"/>
        <w:tabs>
          <w:tab w:val="left" w:pos="880"/>
        </w:tabs>
        <w:spacing w:after="0"/>
        <w:ind w:left="360" w:hanging="360"/>
        <w:jc w:val="left"/>
      </w:pPr>
      <w:r w:rsidRPr="003A627B">
        <w:rPr>
          <w:b/>
          <w:color w:val="3B1CFF"/>
        </w:rPr>
        <w:t>[Bureau]</w:t>
      </w:r>
      <w:r>
        <w:rPr>
          <w:b/>
          <w:color w:val="3B1CFF"/>
        </w:rPr>
        <w:t xml:space="preserve"> </w:t>
      </w:r>
      <w:r w:rsidR="002A187F" w:rsidRPr="00FA2B78">
        <w:t>has assessed its financial management systems, using guidance issued by OMB, and have found them to comply substantially with Federal financial management systems requirements, applicable Federal accounting standards, and the U.S. Government Standard General Ledger at the transaction level as of September 30, 202</w:t>
      </w:r>
      <w:r w:rsidR="00FA2B78">
        <w:t>3</w:t>
      </w:r>
      <w:r w:rsidR="002A187F" w:rsidRPr="00FA2B78">
        <w:t>.</w:t>
      </w:r>
      <w:r w:rsidR="00754863" w:rsidRPr="00FA2B78">
        <w:t xml:space="preserve">  </w:t>
      </w:r>
    </w:p>
    <w:p w14:paraId="14A0EBF4" w14:textId="77777777" w:rsidR="00754863" w:rsidRPr="00FA2B78" w:rsidRDefault="00754863" w:rsidP="009C3C89">
      <w:pPr>
        <w:pStyle w:val="LTNumber1"/>
        <w:numPr>
          <w:ilvl w:val="0"/>
          <w:numId w:val="0"/>
        </w:numPr>
        <w:tabs>
          <w:tab w:val="left" w:pos="880"/>
        </w:tabs>
        <w:spacing w:after="0"/>
        <w:jc w:val="left"/>
      </w:pPr>
    </w:p>
    <w:p w14:paraId="19B5634A" w14:textId="78BB3E2C" w:rsidR="002A187F" w:rsidRPr="00FA2B78" w:rsidRDefault="00FA2B78" w:rsidP="009C3C89">
      <w:pPr>
        <w:pStyle w:val="LTNumber1"/>
        <w:tabs>
          <w:tab w:val="left" w:pos="880"/>
        </w:tabs>
        <w:spacing w:after="0"/>
        <w:ind w:left="360" w:hanging="360"/>
        <w:jc w:val="left"/>
      </w:pPr>
      <w:r>
        <w:t xml:space="preserve">Our bureau </w:t>
      </w:r>
      <w:r w:rsidR="002A187F" w:rsidRPr="00FA2B78">
        <w:t>has disclosed to you, in writing, all known instances of non-compliance or suspected non</w:t>
      </w:r>
      <w:r w:rsidR="002A187F" w:rsidRPr="00FA2B78">
        <w:noBreakHyphen/>
        <w:t>compliance with laws, regulations, contracts and agreements, whose effects should be considered when preparing consolidated financial statements.</w:t>
      </w:r>
      <w:r w:rsidR="00754863" w:rsidRPr="00FA2B78">
        <w:t xml:space="preserve">  </w:t>
      </w:r>
    </w:p>
    <w:p w14:paraId="3E9D1160" w14:textId="77777777" w:rsidR="00754863" w:rsidRPr="00FA2B78" w:rsidRDefault="00754863" w:rsidP="009C3C89">
      <w:pPr>
        <w:pStyle w:val="LTNumber1"/>
        <w:numPr>
          <w:ilvl w:val="0"/>
          <w:numId w:val="0"/>
        </w:numPr>
        <w:tabs>
          <w:tab w:val="left" w:pos="880"/>
        </w:tabs>
        <w:spacing w:after="0"/>
        <w:jc w:val="left"/>
      </w:pPr>
    </w:p>
    <w:p w14:paraId="5EAEC255" w14:textId="64779ADC" w:rsidR="002A187F" w:rsidRPr="00FA2B78" w:rsidRDefault="00FA2B78" w:rsidP="009C3C89">
      <w:pPr>
        <w:pStyle w:val="LTNumber1"/>
        <w:tabs>
          <w:tab w:val="left" w:pos="880"/>
        </w:tabs>
        <w:spacing w:after="0"/>
        <w:ind w:left="360" w:hanging="360"/>
        <w:jc w:val="left"/>
      </w:pPr>
      <w:r>
        <w:t>Our bureau</w:t>
      </w:r>
      <w:r w:rsidR="002A187F" w:rsidRPr="00FA2B78">
        <w:t xml:space="preserve"> has </w:t>
      </w:r>
      <w:r w:rsidR="002A187F" w:rsidRPr="00FA2B78">
        <w:rPr>
          <w:color w:val="000000"/>
        </w:rPr>
        <w:t>communicated to you all violations or potential violations of the Anti-deficiency Act through the date of this letter and have determined that such violations do not have a material effect on the financial statements for the years ended September 30, 202</w:t>
      </w:r>
      <w:r>
        <w:rPr>
          <w:color w:val="000000"/>
        </w:rPr>
        <w:t>3</w:t>
      </w:r>
      <w:r w:rsidR="002A187F" w:rsidRPr="00FA2B78">
        <w:rPr>
          <w:color w:val="000000"/>
        </w:rPr>
        <w:t xml:space="preserve"> and 202</w:t>
      </w:r>
      <w:r>
        <w:rPr>
          <w:color w:val="000000"/>
        </w:rPr>
        <w:t>2</w:t>
      </w:r>
      <w:r w:rsidR="002A187F" w:rsidRPr="00FA2B78">
        <w:rPr>
          <w:color w:val="000000"/>
        </w:rPr>
        <w:t>.</w:t>
      </w:r>
      <w:r w:rsidR="00754863" w:rsidRPr="00FA2B78">
        <w:rPr>
          <w:color w:val="000000"/>
        </w:rPr>
        <w:t xml:space="preserve">  </w:t>
      </w:r>
    </w:p>
    <w:p w14:paraId="6E6E496E" w14:textId="77777777" w:rsidR="009C3C89" w:rsidRPr="00FA2B78" w:rsidRDefault="009C3C89" w:rsidP="009C3C89">
      <w:pPr>
        <w:pStyle w:val="LTNumber1"/>
        <w:numPr>
          <w:ilvl w:val="0"/>
          <w:numId w:val="0"/>
        </w:numPr>
        <w:tabs>
          <w:tab w:val="left" w:pos="880"/>
        </w:tabs>
        <w:spacing w:after="0"/>
        <w:jc w:val="left"/>
      </w:pPr>
    </w:p>
    <w:p w14:paraId="71621669" w14:textId="7AE15D22" w:rsidR="002A187F" w:rsidRPr="00FA2B78" w:rsidRDefault="002A187F" w:rsidP="009C3C89">
      <w:pPr>
        <w:pStyle w:val="LTNumber1"/>
        <w:tabs>
          <w:tab w:val="left" w:pos="880"/>
        </w:tabs>
        <w:spacing w:after="0"/>
        <w:ind w:left="360" w:hanging="360"/>
        <w:jc w:val="left"/>
      </w:pPr>
      <w:r w:rsidRPr="00FA2B78">
        <w:t>All material transactions have been recorded in the accounting records and are reflected in the consolidated financial statements.</w:t>
      </w:r>
      <w:r w:rsidR="00754863" w:rsidRPr="00FA2B78">
        <w:t xml:space="preserve">  </w:t>
      </w:r>
    </w:p>
    <w:p w14:paraId="32BEDF03" w14:textId="77777777" w:rsidR="00754863" w:rsidRPr="00FA2B78" w:rsidRDefault="00754863" w:rsidP="009C3C89">
      <w:pPr>
        <w:pStyle w:val="LTNumber1"/>
        <w:numPr>
          <w:ilvl w:val="0"/>
          <w:numId w:val="0"/>
        </w:numPr>
        <w:tabs>
          <w:tab w:val="left" w:pos="880"/>
        </w:tabs>
        <w:spacing w:after="0"/>
        <w:jc w:val="left"/>
      </w:pPr>
    </w:p>
    <w:p w14:paraId="5B02AAAF" w14:textId="40C6C3B5" w:rsidR="002A187F" w:rsidRPr="00FA2B78" w:rsidRDefault="00A241CC" w:rsidP="009C3C89">
      <w:pPr>
        <w:pStyle w:val="LTNumber1"/>
        <w:tabs>
          <w:tab w:val="left" w:pos="880"/>
        </w:tabs>
        <w:spacing w:after="0"/>
        <w:ind w:left="360" w:hanging="360"/>
        <w:jc w:val="left"/>
      </w:pPr>
      <w:r>
        <w:t>Our bureau</w:t>
      </w:r>
      <w:r w:rsidRPr="00FA2B78">
        <w:t xml:space="preserve"> </w:t>
      </w:r>
      <w:r w:rsidR="002A187F" w:rsidRPr="00FA2B78">
        <w:t>has satisfactory title to all owned assets, including stewardship land and heritage assets</w:t>
      </w:r>
      <w:r w:rsidR="00FA2B78" w:rsidRPr="00FA2B78">
        <w:t xml:space="preserve">.  </w:t>
      </w:r>
      <w:r w:rsidR="002A187F" w:rsidRPr="00FA2B78">
        <w:t>Furthermore, there are no liens or encumbrances on these assets and no assets have been pledged.</w:t>
      </w:r>
      <w:r w:rsidR="00754863" w:rsidRPr="00FA2B78">
        <w:t xml:space="preserve">  </w:t>
      </w:r>
    </w:p>
    <w:p w14:paraId="7ECF4925" w14:textId="77777777" w:rsidR="00754863" w:rsidRPr="00FA2B78" w:rsidRDefault="00754863" w:rsidP="009C3C89">
      <w:pPr>
        <w:pStyle w:val="LTNumber1"/>
        <w:numPr>
          <w:ilvl w:val="0"/>
          <w:numId w:val="0"/>
        </w:numPr>
        <w:tabs>
          <w:tab w:val="left" w:pos="880"/>
        </w:tabs>
        <w:spacing w:after="0"/>
        <w:jc w:val="left"/>
      </w:pPr>
    </w:p>
    <w:p w14:paraId="105AF530" w14:textId="28E0B2CB" w:rsidR="002A187F" w:rsidRPr="00FA2B78" w:rsidRDefault="003A627B" w:rsidP="009C3C89">
      <w:pPr>
        <w:pStyle w:val="LTNumber1"/>
        <w:tabs>
          <w:tab w:val="left" w:pos="880"/>
        </w:tabs>
        <w:spacing w:after="0"/>
        <w:ind w:left="360" w:hanging="360"/>
        <w:jc w:val="left"/>
      </w:pPr>
      <w:r w:rsidRPr="003A627B">
        <w:rPr>
          <w:b/>
          <w:color w:val="3B1CFF"/>
        </w:rPr>
        <w:t>[Bureau]</w:t>
      </w:r>
      <w:r w:rsidR="002A187F" w:rsidRPr="00FA2B78">
        <w:t xml:space="preserve"> has no plans or intentions that may materially affect the recognition, measurement, presentation, disclosure, or classification of assets and liabilities.</w:t>
      </w:r>
      <w:r w:rsidR="00754863" w:rsidRPr="00FA2B78">
        <w:t xml:space="preserve">  </w:t>
      </w:r>
    </w:p>
    <w:p w14:paraId="650B638F" w14:textId="77777777" w:rsidR="00754863" w:rsidRPr="00FA2B78" w:rsidRDefault="00754863" w:rsidP="009C3C89">
      <w:pPr>
        <w:pStyle w:val="LTNumber1"/>
        <w:numPr>
          <w:ilvl w:val="0"/>
          <w:numId w:val="0"/>
        </w:numPr>
        <w:tabs>
          <w:tab w:val="left" w:pos="880"/>
        </w:tabs>
        <w:spacing w:after="0"/>
        <w:jc w:val="left"/>
      </w:pPr>
    </w:p>
    <w:p w14:paraId="0C7CDE59" w14:textId="3E2EB13E" w:rsidR="002A187F" w:rsidRPr="00FA2B78" w:rsidRDefault="002A187F" w:rsidP="009C3C89">
      <w:pPr>
        <w:pStyle w:val="LTNumber1"/>
        <w:tabs>
          <w:tab w:val="left" w:pos="880"/>
        </w:tabs>
        <w:spacing w:after="0"/>
        <w:ind w:left="360" w:hanging="360"/>
        <w:jc w:val="left"/>
      </w:pPr>
      <w:r w:rsidRPr="00FA2B78">
        <w:rPr>
          <w:color w:val="000000"/>
        </w:rPr>
        <w:t>There are no guarantees under which our bureau</w:t>
      </w:r>
      <w:r w:rsidRPr="00FA2B78">
        <w:rPr>
          <w:b/>
          <w:color w:val="0000FF"/>
        </w:rPr>
        <w:t xml:space="preserve"> </w:t>
      </w:r>
      <w:r w:rsidRPr="00FA2B78">
        <w:rPr>
          <w:color w:val="000000"/>
        </w:rPr>
        <w:t>is contingently liable that require reporting or disclosure in the financial statements.</w:t>
      </w:r>
      <w:r w:rsidR="00754863" w:rsidRPr="00FA2B78">
        <w:rPr>
          <w:color w:val="000000"/>
        </w:rPr>
        <w:t xml:space="preserve">  </w:t>
      </w:r>
    </w:p>
    <w:p w14:paraId="20526467" w14:textId="77777777" w:rsidR="00754863" w:rsidRPr="00FA2B78" w:rsidRDefault="00754863" w:rsidP="009C3C89">
      <w:pPr>
        <w:pStyle w:val="LTNumber1"/>
        <w:numPr>
          <w:ilvl w:val="0"/>
          <w:numId w:val="0"/>
        </w:numPr>
        <w:tabs>
          <w:tab w:val="left" w:pos="880"/>
        </w:tabs>
        <w:spacing w:after="0"/>
        <w:jc w:val="left"/>
      </w:pPr>
    </w:p>
    <w:p w14:paraId="2D6AC0BE" w14:textId="12107A17" w:rsidR="002A187F" w:rsidRPr="00FA2B78" w:rsidRDefault="002A187F" w:rsidP="009C3C89">
      <w:pPr>
        <w:pStyle w:val="LTNumber1"/>
        <w:tabs>
          <w:tab w:val="left" w:pos="880"/>
        </w:tabs>
        <w:spacing w:after="0"/>
        <w:ind w:left="360" w:hanging="360"/>
        <w:jc w:val="left"/>
      </w:pPr>
      <w:r w:rsidRPr="00FA2B78">
        <w:t>All events subsequent to the date of the consolidated financial statements and through the date of this letter for which U.S. GAAP requires adjustment or disclosure have been adjusted or disclosed.</w:t>
      </w:r>
      <w:r w:rsidR="00754863" w:rsidRPr="00FA2B78">
        <w:t xml:space="preserve">  </w:t>
      </w:r>
    </w:p>
    <w:p w14:paraId="1D288805" w14:textId="77777777" w:rsidR="00754863" w:rsidRPr="00FA2B78" w:rsidRDefault="00754863" w:rsidP="009C3C89">
      <w:pPr>
        <w:pStyle w:val="LTNumber1"/>
        <w:numPr>
          <w:ilvl w:val="0"/>
          <w:numId w:val="0"/>
        </w:numPr>
        <w:tabs>
          <w:tab w:val="left" w:pos="880"/>
        </w:tabs>
        <w:spacing w:after="0"/>
        <w:jc w:val="left"/>
      </w:pPr>
    </w:p>
    <w:p w14:paraId="73710CA4" w14:textId="479A353A" w:rsidR="002A187F" w:rsidRDefault="002A187F" w:rsidP="009C3C89">
      <w:pPr>
        <w:pStyle w:val="LTNumber1"/>
        <w:tabs>
          <w:tab w:val="left" w:pos="880"/>
        </w:tabs>
        <w:spacing w:after="0"/>
        <w:ind w:left="360" w:hanging="360"/>
        <w:jc w:val="left"/>
      </w:pPr>
      <w:r w:rsidRPr="00FA2B78">
        <w:t xml:space="preserve">The effects of all known actual or possible litigation and claims, including those related to treaties and other international agreements, have been accounted for and disclosed in accordance with Federal Accounting Standards Advisory Board (FASAB) Statement of Federal Financial Accounting Standards (SFFAS) 5, </w:t>
      </w:r>
      <w:r w:rsidRPr="00FA2B78">
        <w:rPr>
          <w:i/>
        </w:rPr>
        <w:t>Accounting for Liabilities of the Federal Government</w:t>
      </w:r>
      <w:r w:rsidRPr="00FA2B78">
        <w:t>, as amended.</w:t>
      </w:r>
      <w:r w:rsidR="009C3C89">
        <w:t xml:space="preserve">  </w:t>
      </w:r>
    </w:p>
    <w:p w14:paraId="01F8C2B3" w14:textId="77777777" w:rsidR="009C3C89" w:rsidRPr="00FA2B78" w:rsidRDefault="009C3C89" w:rsidP="009C3C89">
      <w:pPr>
        <w:pStyle w:val="LTNumber1"/>
        <w:numPr>
          <w:ilvl w:val="0"/>
          <w:numId w:val="0"/>
        </w:numPr>
        <w:tabs>
          <w:tab w:val="left" w:pos="880"/>
        </w:tabs>
        <w:spacing w:after="0"/>
        <w:jc w:val="left"/>
      </w:pPr>
    </w:p>
    <w:p w14:paraId="52FEE4B1" w14:textId="41310B1E" w:rsidR="002A187F" w:rsidRPr="00FA2B78" w:rsidRDefault="00FA2B78" w:rsidP="009C3C89">
      <w:pPr>
        <w:pStyle w:val="LTNumber1"/>
        <w:tabs>
          <w:tab w:val="left" w:pos="880"/>
        </w:tabs>
        <w:spacing w:after="0"/>
        <w:ind w:left="360" w:hanging="360"/>
        <w:jc w:val="left"/>
      </w:pPr>
      <w:r>
        <w:t xml:space="preserve">Our bureau </w:t>
      </w:r>
      <w:r w:rsidR="002A187F" w:rsidRPr="00FA2B78">
        <w:t>has disclosed to you all known actual or possible litigation, claims, and assessments, including those related to treaties and other international agreements, whose effects should be considered when preparing the consolidated financial statements.</w:t>
      </w:r>
      <w:r w:rsidRPr="00FA2B78">
        <w:t xml:space="preserve">  </w:t>
      </w:r>
    </w:p>
    <w:p w14:paraId="71282542" w14:textId="77777777" w:rsidR="00FA2B78" w:rsidRPr="00FA2B78" w:rsidRDefault="00FA2B78" w:rsidP="009C3C89">
      <w:pPr>
        <w:pStyle w:val="LTNumber1"/>
        <w:numPr>
          <w:ilvl w:val="0"/>
          <w:numId w:val="0"/>
        </w:numPr>
        <w:tabs>
          <w:tab w:val="left" w:pos="880"/>
        </w:tabs>
        <w:spacing w:after="0"/>
        <w:jc w:val="left"/>
      </w:pPr>
    </w:p>
    <w:p w14:paraId="1798308C" w14:textId="2F3037D6" w:rsidR="002A187F" w:rsidRPr="00FA2B78" w:rsidRDefault="00FA2B78" w:rsidP="009C3C89">
      <w:pPr>
        <w:pStyle w:val="LTNumber1"/>
        <w:tabs>
          <w:tab w:val="left" w:pos="880"/>
        </w:tabs>
        <w:spacing w:after="0"/>
        <w:ind w:left="360" w:hanging="360"/>
        <w:jc w:val="left"/>
      </w:pPr>
      <w:r>
        <w:t xml:space="preserve">Our bureau </w:t>
      </w:r>
      <w:r w:rsidR="002A187F" w:rsidRPr="00FA2B78">
        <w:t xml:space="preserve">has disclosed in the consolidated financial statements all material dedicated collections as defined by SFFAS 43, </w:t>
      </w:r>
      <w:r w:rsidR="002A187F" w:rsidRPr="00FA2B78">
        <w:rPr>
          <w:i/>
        </w:rPr>
        <w:t>Funds from Dedicated Collections: Amending Statement of Federal Financial Accounting Standards 27, Identifying and Reporting Earmarked Funds</w:t>
      </w:r>
      <w:r w:rsidR="002A187F" w:rsidRPr="00FA2B78">
        <w:t>, and all other material restricted funds.</w:t>
      </w:r>
      <w:r w:rsidRPr="00FA2B78">
        <w:t xml:space="preserve">  </w:t>
      </w:r>
    </w:p>
    <w:p w14:paraId="3276A3CB" w14:textId="77777777" w:rsidR="00FA2B78" w:rsidRPr="00FA2B78" w:rsidRDefault="00FA2B78" w:rsidP="009C3C89">
      <w:pPr>
        <w:pStyle w:val="LTNumber1"/>
        <w:numPr>
          <w:ilvl w:val="0"/>
          <w:numId w:val="0"/>
        </w:numPr>
        <w:tabs>
          <w:tab w:val="left" w:pos="880"/>
        </w:tabs>
        <w:spacing w:after="0"/>
        <w:jc w:val="left"/>
      </w:pPr>
    </w:p>
    <w:p w14:paraId="30F2EB5C" w14:textId="35D44379" w:rsidR="00FA2B78" w:rsidRPr="00FA2B78" w:rsidRDefault="002A187F" w:rsidP="009C3C89">
      <w:pPr>
        <w:pStyle w:val="LTNumber1"/>
        <w:tabs>
          <w:tab w:val="left" w:pos="880"/>
        </w:tabs>
        <w:spacing w:after="0"/>
        <w:ind w:left="360" w:hanging="360"/>
        <w:jc w:val="left"/>
      </w:pPr>
      <w:r w:rsidRPr="00FA2B78">
        <w:t>The effects of uncorrected financial statement misstatements are immaterial, both individually and in the aggregate, to the consolidated financial statements taken as a whole.</w:t>
      </w:r>
      <w:r w:rsidR="00FA2B78" w:rsidRPr="00FA2B78">
        <w:t xml:space="preserve">  </w:t>
      </w:r>
    </w:p>
    <w:p w14:paraId="448B20F5" w14:textId="522357FA" w:rsidR="002A187F" w:rsidRPr="00FA2B78" w:rsidRDefault="002A187F" w:rsidP="009C3C89">
      <w:pPr>
        <w:pStyle w:val="LTNumber1"/>
        <w:numPr>
          <w:ilvl w:val="0"/>
          <w:numId w:val="0"/>
        </w:numPr>
        <w:tabs>
          <w:tab w:val="left" w:pos="880"/>
        </w:tabs>
        <w:spacing w:after="0"/>
        <w:jc w:val="left"/>
      </w:pPr>
      <w:r w:rsidRPr="00FA2B78">
        <w:lastRenderedPageBreak/>
        <w:t xml:space="preserve"> </w:t>
      </w:r>
    </w:p>
    <w:p w14:paraId="287C3664" w14:textId="45BE30BF" w:rsidR="002A187F" w:rsidRPr="00FA2B78" w:rsidRDefault="003A627B" w:rsidP="009C3C89">
      <w:pPr>
        <w:pStyle w:val="LTNumber1"/>
        <w:tabs>
          <w:tab w:val="left" w:pos="880"/>
        </w:tabs>
        <w:spacing w:after="0"/>
        <w:ind w:left="360" w:hanging="360"/>
        <w:jc w:val="left"/>
      </w:pPr>
      <w:r w:rsidRPr="003A627B">
        <w:rPr>
          <w:b/>
          <w:color w:val="3B1CFF"/>
        </w:rPr>
        <w:t>[Bureau]</w:t>
      </w:r>
      <w:r w:rsidR="002A187F" w:rsidRPr="00FA2B78">
        <w:t xml:space="preserve"> acknowledges and has fulfilled our responsibility for the design, implementation, and maintenance of programs and controls to prevent, deter, and detect fraud; for adopting sound accounting policies; and for the design, implementation, and maintenance of internal control relevant to the preparation and fair presentation of the consolidated financial statements and to provide reasonable assurance against the possibility of misstatements that are material to the consolidated financial statements, whether due to error or fraud. We understand that the term “fraud” is defined as an intentional act by one or more individuals among management, those charged with governance, employees, or third parties, involving the use of deception that results in a misstatement in financial statements that are the subject of an audit.</w:t>
      </w:r>
      <w:r w:rsidR="00FA2B78" w:rsidRPr="00FA2B78">
        <w:t xml:space="preserve">  </w:t>
      </w:r>
    </w:p>
    <w:p w14:paraId="5C14C2EE" w14:textId="77777777" w:rsidR="00FA2B78" w:rsidRPr="00FA2B78" w:rsidRDefault="00FA2B78" w:rsidP="009C3C89">
      <w:pPr>
        <w:pStyle w:val="LTNumber1"/>
        <w:numPr>
          <w:ilvl w:val="0"/>
          <w:numId w:val="0"/>
        </w:numPr>
        <w:tabs>
          <w:tab w:val="left" w:pos="880"/>
        </w:tabs>
        <w:spacing w:after="0"/>
        <w:jc w:val="left"/>
      </w:pPr>
    </w:p>
    <w:p w14:paraId="403F5692" w14:textId="4A4948D9" w:rsidR="002A187F" w:rsidRPr="00FA2B78" w:rsidRDefault="00FA2B78" w:rsidP="009C3C89">
      <w:pPr>
        <w:pStyle w:val="LTNumber1"/>
        <w:tabs>
          <w:tab w:val="left" w:pos="880"/>
        </w:tabs>
        <w:spacing w:after="0"/>
        <w:ind w:left="360" w:hanging="360"/>
        <w:jc w:val="left"/>
      </w:pPr>
      <w:r>
        <w:t xml:space="preserve">Our bureau </w:t>
      </w:r>
      <w:r w:rsidR="002A187F" w:rsidRPr="00FA2B78">
        <w:t xml:space="preserve">is responsible for and has </w:t>
      </w:r>
      <w:r w:rsidR="00934C07">
        <w:t>assessed</w:t>
      </w:r>
      <w:r w:rsidR="00934C07" w:rsidRPr="00FA2B78">
        <w:t xml:space="preserve"> </w:t>
      </w:r>
      <w:r w:rsidR="002A187F" w:rsidRPr="00FA2B78">
        <w:t>the effectiveness of its internal control over financial reporting as of September 30, 202</w:t>
      </w:r>
      <w:r>
        <w:t>3</w:t>
      </w:r>
      <w:r w:rsidR="002A187F" w:rsidRPr="00FA2B78">
        <w:t xml:space="preserve">, using the control criteria framework of GAO’s </w:t>
      </w:r>
      <w:r w:rsidR="002A187F" w:rsidRPr="00FA2B78">
        <w:rPr>
          <w:i/>
        </w:rPr>
        <w:t>Standards for Internal Control in the Federal Government</w:t>
      </w:r>
      <w:r w:rsidR="002A187F" w:rsidRPr="00FA2B78">
        <w:t>.</w:t>
      </w:r>
      <w:r w:rsidRPr="00FA2B78">
        <w:t xml:space="preserve">  </w:t>
      </w:r>
    </w:p>
    <w:p w14:paraId="31EAE52D" w14:textId="77777777" w:rsidR="00FA2B78" w:rsidRPr="00FA2B78" w:rsidRDefault="00FA2B78" w:rsidP="009C3C89">
      <w:pPr>
        <w:pStyle w:val="LTNumber1"/>
        <w:numPr>
          <w:ilvl w:val="0"/>
          <w:numId w:val="0"/>
        </w:numPr>
        <w:tabs>
          <w:tab w:val="left" w:pos="880"/>
        </w:tabs>
        <w:spacing w:after="0"/>
        <w:jc w:val="left"/>
      </w:pPr>
    </w:p>
    <w:p w14:paraId="58E8FA60" w14:textId="6336D239" w:rsidR="002A187F" w:rsidRPr="00FA2B78" w:rsidRDefault="00FA2B78" w:rsidP="009C3C89">
      <w:pPr>
        <w:pStyle w:val="LTNumber1"/>
        <w:tabs>
          <w:tab w:val="left" w:pos="880"/>
        </w:tabs>
        <w:spacing w:after="0"/>
        <w:ind w:left="360" w:hanging="360"/>
        <w:jc w:val="left"/>
      </w:pPr>
      <w:bookmarkStart w:id="2" w:name="_Hlk120886274"/>
      <w:r>
        <w:t xml:space="preserve">Our bureau </w:t>
      </w:r>
      <w:r w:rsidR="002A187F" w:rsidRPr="00FA2B78">
        <w:t>has</w:t>
      </w:r>
      <w:bookmarkEnd w:id="2"/>
      <w:r w:rsidR="002A187F" w:rsidRPr="00FA2B78">
        <w:t xml:space="preserve"> disclosed all deficiencies in the design or operation of internal control over financial reporting of which we are aware, which could adversely affect our ability to initiate, authorize, record, process, or report financial data</w:t>
      </w:r>
      <w:r w:rsidRPr="00FA2B78">
        <w:t xml:space="preserve">.  </w:t>
      </w:r>
      <w:r w:rsidR="002A187F" w:rsidRPr="00FA2B78">
        <w:t xml:space="preserve">We have separately disclosed:  (a) all such deficiencies that we believe to be significant deficiencies or material weaknesses in internal control over financial reporting, as those terms are defined in AU-C Section 265.07, </w:t>
      </w:r>
      <w:r w:rsidR="002A187F" w:rsidRPr="00FA2B78">
        <w:rPr>
          <w:i/>
        </w:rPr>
        <w:t>Communicating Internal Control Related Matters Identified in an Audit</w:t>
      </w:r>
      <w:r w:rsidR="002A187F" w:rsidRPr="00FA2B78">
        <w:t xml:space="preserve"> and (b) whether prior years’ significant deficiencies and material weaknesses, as applicable, have been resolved as of September 30, 202</w:t>
      </w:r>
      <w:r>
        <w:t>3</w:t>
      </w:r>
      <w:r w:rsidR="002A187F" w:rsidRPr="00FA2B78">
        <w:t>.</w:t>
      </w:r>
      <w:r w:rsidRPr="00FA2B78">
        <w:t xml:space="preserve">  </w:t>
      </w:r>
    </w:p>
    <w:p w14:paraId="775CB9A9" w14:textId="77777777" w:rsidR="00FA2B78" w:rsidRPr="00FA2B78" w:rsidRDefault="00FA2B78" w:rsidP="009C3C89">
      <w:pPr>
        <w:pStyle w:val="LTNumber1"/>
        <w:numPr>
          <w:ilvl w:val="0"/>
          <w:numId w:val="0"/>
        </w:numPr>
        <w:tabs>
          <w:tab w:val="left" w:pos="880"/>
        </w:tabs>
        <w:spacing w:after="0"/>
        <w:jc w:val="left"/>
      </w:pPr>
    </w:p>
    <w:p w14:paraId="7CDA1ED2" w14:textId="2F017DEF" w:rsidR="002A187F" w:rsidRPr="00FA2B78" w:rsidRDefault="002A187F" w:rsidP="009C3C89">
      <w:pPr>
        <w:pStyle w:val="LTNumber1"/>
        <w:tabs>
          <w:tab w:val="left" w:pos="880"/>
        </w:tabs>
        <w:spacing w:after="0"/>
        <w:ind w:left="360" w:hanging="360"/>
        <w:jc w:val="left"/>
      </w:pPr>
      <w:r w:rsidRPr="00FA2B78">
        <w:t>There have been no changes to internal control over financial reporting subsequent to September 30, 202</w:t>
      </w:r>
      <w:r w:rsidR="00FA2B78">
        <w:t>3</w:t>
      </w:r>
      <w:r w:rsidRPr="00FA2B78">
        <w:t>, or other conditions that might significantly affect internal control over financial reporting.</w:t>
      </w:r>
      <w:r w:rsidR="00FA2B78" w:rsidRPr="00FA2B78">
        <w:t xml:space="preserve">  </w:t>
      </w:r>
    </w:p>
    <w:p w14:paraId="794ECDA6" w14:textId="77777777" w:rsidR="00FA2B78" w:rsidRPr="00FA2B78" w:rsidRDefault="00FA2B78" w:rsidP="009C3C89">
      <w:pPr>
        <w:pStyle w:val="LTNumber1"/>
        <w:numPr>
          <w:ilvl w:val="0"/>
          <w:numId w:val="0"/>
        </w:numPr>
        <w:tabs>
          <w:tab w:val="left" w:pos="880"/>
        </w:tabs>
        <w:spacing w:after="0"/>
        <w:jc w:val="left"/>
      </w:pPr>
    </w:p>
    <w:p w14:paraId="56DD5859" w14:textId="28E2A87B" w:rsidR="002A187F" w:rsidRPr="00FA2B78" w:rsidRDefault="00FA2B78" w:rsidP="009C3C89">
      <w:pPr>
        <w:pStyle w:val="LTNumber1"/>
        <w:tabs>
          <w:tab w:val="left" w:pos="880"/>
        </w:tabs>
        <w:spacing w:after="0"/>
        <w:ind w:left="360" w:hanging="360"/>
        <w:jc w:val="left"/>
      </w:pPr>
      <w:r>
        <w:t xml:space="preserve">Our bureau </w:t>
      </w:r>
      <w:r w:rsidR="002A187F" w:rsidRPr="00FA2B78">
        <w:t>has disclosed to you the results of our assessment of the risk that the consolidated financial statements may be materially misstated as a result of fraud.</w:t>
      </w:r>
      <w:r w:rsidRPr="00FA2B78">
        <w:t xml:space="preserve">  </w:t>
      </w:r>
    </w:p>
    <w:p w14:paraId="078D732B" w14:textId="77777777" w:rsidR="00FA2B78" w:rsidRPr="00FA2B78" w:rsidRDefault="00FA2B78" w:rsidP="009C3C89">
      <w:pPr>
        <w:pStyle w:val="LTNumber1"/>
        <w:numPr>
          <w:ilvl w:val="0"/>
          <w:numId w:val="0"/>
        </w:numPr>
        <w:tabs>
          <w:tab w:val="left" w:pos="880"/>
        </w:tabs>
        <w:spacing w:after="0"/>
        <w:jc w:val="left"/>
      </w:pPr>
    </w:p>
    <w:p w14:paraId="04932421" w14:textId="787C7E0D" w:rsidR="002A187F" w:rsidRPr="00FA2B78" w:rsidRDefault="003A627B" w:rsidP="009C3C89">
      <w:pPr>
        <w:pStyle w:val="LTNumber1"/>
        <w:tabs>
          <w:tab w:val="left" w:pos="880"/>
        </w:tabs>
        <w:spacing w:after="0"/>
        <w:ind w:left="360" w:hanging="360"/>
        <w:jc w:val="left"/>
      </w:pPr>
      <w:r w:rsidRPr="003A627B">
        <w:rPr>
          <w:b/>
          <w:color w:val="3B1CFF"/>
        </w:rPr>
        <w:t>[Bureau]</w:t>
      </w:r>
      <w:r w:rsidR="002A187F" w:rsidRPr="00FA2B78">
        <w:rPr>
          <w:b/>
          <w:color w:val="0000FF"/>
        </w:rPr>
        <w:t xml:space="preserve"> </w:t>
      </w:r>
      <w:r w:rsidR="002A187F" w:rsidRPr="00FA2B78">
        <w:t xml:space="preserve">has </w:t>
      </w:r>
      <w:r w:rsidR="00934C07" w:rsidRPr="00934C07">
        <w:t>disclosed to you all information that we are aware of about</w:t>
      </w:r>
      <w:r w:rsidR="002A187F" w:rsidRPr="00FA2B78">
        <w:t xml:space="preserve"> fraud affecting </w:t>
      </w:r>
      <w:r w:rsidR="00FA2B78">
        <w:t>our bureau</w:t>
      </w:r>
      <w:r w:rsidR="002A187F" w:rsidRPr="00FA2B78">
        <w:t xml:space="preserve"> or Department involving:</w:t>
      </w:r>
      <w:r w:rsidR="009C3C89">
        <w:t xml:space="preserve">  </w:t>
      </w:r>
    </w:p>
    <w:p w14:paraId="1BDDB8A4" w14:textId="316ADDC4" w:rsidR="002A187F" w:rsidRPr="00FA2B78" w:rsidRDefault="002A187F" w:rsidP="009C3C89">
      <w:pPr>
        <w:pStyle w:val="LTNormalInd"/>
        <w:numPr>
          <w:ilvl w:val="0"/>
          <w:numId w:val="7"/>
        </w:numPr>
        <w:tabs>
          <w:tab w:val="left" w:pos="810"/>
          <w:tab w:val="left" w:pos="5940"/>
        </w:tabs>
        <w:spacing w:after="0"/>
        <w:ind w:left="1080" w:hanging="540"/>
        <w:jc w:val="left"/>
        <w:rPr>
          <w:szCs w:val="22"/>
        </w:rPr>
      </w:pPr>
      <w:r w:rsidRPr="00FA2B78">
        <w:rPr>
          <w:szCs w:val="22"/>
        </w:rPr>
        <w:t>Management,</w:t>
      </w:r>
      <w:r w:rsidR="009C3C89">
        <w:rPr>
          <w:szCs w:val="22"/>
        </w:rPr>
        <w:t xml:space="preserve"> </w:t>
      </w:r>
    </w:p>
    <w:p w14:paraId="24013D54" w14:textId="6BCA6438" w:rsidR="002A187F" w:rsidRPr="00FA2B78" w:rsidRDefault="002A187F" w:rsidP="009C3C89">
      <w:pPr>
        <w:pStyle w:val="LTNormalInd"/>
        <w:numPr>
          <w:ilvl w:val="0"/>
          <w:numId w:val="7"/>
        </w:numPr>
        <w:tabs>
          <w:tab w:val="left" w:pos="810"/>
          <w:tab w:val="left" w:pos="5940"/>
        </w:tabs>
        <w:spacing w:after="0"/>
        <w:ind w:left="1080" w:hanging="540"/>
        <w:jc w:val="left"/>
        <w:rPr>
          <w:szCs w:val="22"/>
        </w:rPr>
      </w:pPr>
      <w:r w:rsidRPr="00FA2B78">
        <w:rPr>
          <w:szCs w:val="22"/>
        </w:rPr>
        <w:t>Employees who have significant roles in internal control, or</w:t>
      </w:r>
      <w:r w:rsidR="009C3C89">
        <w:rPr>
          <w:szCs w:val="22"/>
        </w:rPr>
        <w:t xml:space="preserve"> </w:t>
      </w:r>
    </w:p>
    <w:p w14:paraId="5E9A7982" w14:textId="4A0F0254" w:rsidR="002A187F" w:rsidRPr="00FA2B78" w:rsidRDefault="002A187F" w:rsidP="009C3C89">
      <w:pPr>
        <w:pStyle w:val="LTNormalInd"/>
        <w:numPr>
          <w:ilvl w:val="0"/>
          <w:numId w:val="7"/>
        </w:numPr>
        <w:tabs>
          <w:tab w:val="left" w:pos="810"/>
          <w:tab w:val="left" w:pos="5940"/>
        </w:tabs>
        <w:spacing w:after="0"/>
        <w:ind w:left="1080" w:hanging="540"/>
        <w:jc w:val="left"/>
        <w:rPr>
          <w:szCs w:val="22"/>
        </w:rPr>
      </w:pPr>
      <w:r w:rsidRPr="00FA2B78">
        <w:rPr>
          <w:szCs w:val="22"/>
        </w:rPr>
        <w:t>Others where the fraud could have a material effect on the consolidated financial statements.</w:t>
      </w:r>
      <w:r w:rsidR="00FA2B78" w:rsidRPr="00FA2B78">
        <w:rPr>
          <w:szCs w:val="22"/>
        </w:rPr>
        <w:t xml:space="preserve">  </w:t>
      </w:r>
    </w:p>
    <w:p w14:paraId="3CD92BEE" w14:textId="77777777" w:rsidR="00FA2B78" w:rsidRPr="00FA2B78" w:rsidRDefault="00FA2B78" w:rsidP="009C3C89">
      <w:pPr>
        <w:pStyle w:val="LTNormalInd"/>
        <w:tabs>
          <w:tab w:val="left" w:pos="810"/>
          <w:tab w:val="left" w:pos="5940"/>
        </w:tabs>
        <w:spacing w:after="0"/>
        <w:ind w:left="0"/>
        <w:jc w:val="left"/>
        <w:rPr>
          <w:szCs w:val="22"/>
        </w:rPr>
      </w:pPr>
    </w:p>
    <w:p w14:paraId="673460B1" w14:textId="21BE73F7" w:rsidR="002A187F" w:rsidRPr="00FA2B78" w:rsidRDefault="00FA2B78" w:rsidP="009C3C89">
      <w:pPr>
        <w:pStyle w:val="LTNumber1"/>
        <w:tabs>
          <w:tab w:val="left" w:pos="880"/>
        </w:tabs>
        <w:spacing w:after="0"/>
        <w:ind w:left="360" w:hanging="360"/>
        <w:jc w:val="left"/>
      </w:pPr>
      <w:r>
        <w:t>Our bureau</w:t>
      </w:r>
      <w:r w:rsidR="002A187F" w:rsidRPr="00FA2B78">
        <w:t xml:space="preserve"> has no knowledge of any fraud or suspected fraud that resulted in a material misstatement to our consolidated financial statements or RSI.</w:t>
      </w:r>
      <w:r w:rsidRPr="00FA2B78">
        <w:t xml:space="preserve">  </w:t>
      </w:r>
    </w:p>
    <w:p w14:paraId="3AC1F80C" w14:textId="77777777" w:rsidR="00FA2B78" w:rsidRPr="00FA2B78" w:rsidRDefault="00FA2B78" w:rsidP="009C3C89">
      <w:pPr>
        <w:pStyle w:val="LTNumber1"/>
        <w:numPr>
          <w:ilvl w:val="0"/>
          <w:numId w:val="0"/>
        </w:numPr>
        <w:tabs>
          <w:tab w:val="left" w:pos="880"/>
        </w:tabs>
        <w:spacing w:after="0"/>
        <w:jc w:val="left"/>
      </w:pPr>
    </w:p>
    <w:p w14:paraId="5F6E58CA" w14:textId="0AF8F8F9" w:rsidR="002A187F" w:rsidRPr="00FA2B78" w:rsidRDefault="00FA2B78" w:rsidP="009C3C89">
      <w:pPr>
        <w:pStyle w:val="LTNumber1"/>
        <w:tabs>
          <w:tab w:val="left" w:pos="880"/>
        </w:tabs>
        <w:spacing w:after="0"/>
        <w:ind w:left="360" w:hanging="360"/>
        <w:jc w:val="left"/>
      </w:pPr>
      <w:r>
        <w:t xml:space="preserve">Our bureau </w:t>
      </w:r>
      <w:r w:rsidR="002A187F" w:rsidRPr="00FA2B78">
        <w:t>has no knowledge of any allegations of fraud or suspected fraud that affects the bureau’s</w:t>
      </w:r>
      <w:r w:rsidR="002A187F" w:rsidRPr="00FA2B78">
        <w:rPr>
          <w:b/>
          <w:color w:val="0000FF"/>
        </w:rPr>
        <w:t xml:space="preserve"> </w:t>
      </w:r>
      <w:r w:rsidR="002A187F" w:rsidRPr="00FA2B78">
        <w:t>or the Department’s consolidated financial statements, which has been  communicated by employees, former employees, regulators, or others.</w:t>
      </w:r>
      <w:r w:rsidRPr="00FA2B78">
        <w:t xml:space="preserve">  </w:t>
      </w:r>
    </w:p>
    <w:p w14:paraId="78168B81" w14:textId="77777777" w:rsidR="00FA2B78" w:rsidRPr="00FA2B78" w:rsidRDefault="00FA2B78" w:rsidP="009C3C89">
      <w:pPr>
        <w:pStyle w:val="LTNumber1"/>
        <w:numPr>
          <w:ilvl w:val="0"/>
          <w:numId w:val="0"/>
        </w:numPr>
        <w:tabs>
          <w:tab w:val="left" w:pos="880"/>
        </w:tabs>
        <w:spacing w:after="0"/>
        <w:jc w:val="left"/>
      </w:pPr>
    </w:p>
    <w:p w14:paraId="27512C34" w14:textId="34C23530" w:rsidR="002A187F" w:rsidRPr="00FA2B78" w:rsidRDefault="009C3C89" w:rsidP="009C3C89">
      <w:pPr>
        <w:pStyle w:val="LTNumber1"/>
        <w:tabs>
          <w:tab w:val="left" w:pos="880"/>
        </w:tabs>
        <w:spacing w:after="0"/>
        <w:ind w:left="360" w:hanging="360"/>
        <w:jc w:val="left"/>
      </w:pPr>
      <w:r>
        <w:t>Our bureau</w:t>
      </w:r>
      <w:r w:rsidR="002A187F" w:rsidRPr="00FA2B78">
        <w:t xml:space="preserve"> has no knowledge of any officer or senior manager, in our bureau or the Department as a whole, or any other person acting under the direction thereof, having taken any action to fraudulently influence, coerce, manipulate, or mislead you during your audits.</w:t>
      </w:r>
      <w:r w:rsidR="00FA2B78" w:rsidRPr="00FA2B78">
        <w:t xml:space="preserve">  </w:t>
      </w:r>
    </w:p>
    <w:p w14:paraId="3374BF89" w14:textId="77777777" w:rsidR="00FA2B78" w:rsidRPr="00FA2B78" w:rsidRDefault="00FA2B78" w:rsidP="009C3C89">
      <w:pPr>
        <w:pStyle w:val="LTNumber1"/>
        <w:numPr>
          <w:ilvl w:val="0"/>
          <w:numId w:val="0"/>
        </w:numPr>
        <w:tabs>
          <w:tab w:val="left" w:pos="880"/>
        </w:tabs>
        <w:spacing w:after="0"/>
        <w:jc w:val="left"/>
      </w:pPr>
    </w:p>
    <w:p w14:paraId="7019932A" w14:textId="25530F22" w:rsidR="002A187F" w:rsidRPr="00FA2B78" w:rsidRDefault="002A187F" w:rsidP="009C3C89">
      <w:pPr>
        <w:pStyle w:val="LTNumber1"/>
        <w:tabs>
          <w:tab w:val="left" w:pos="880"/>
        </w:tabs>
        <w:spacing w:after="0"/>
        <w:ind w:left="360" w:hanging="360"/>
        <w:jc w:val="left"/>
      </w:pPr>
      <w:r w:rsidRPr="00FA2B78">
        <w:lastRenderedPageBreak/>
        <w:t>The methods, data, and significant assumptions used by us in making accounting estimates and their related disclosures are appropriate to achieve recognition, measurement, or disclosure that is reasonable in accordance with U.S. GAAP.</w:t>
      </w:r>
      <w:r w:rsidR="00FA2B78" w:rsidRPr="00FA2B78">
        <w:t xml:space="preserve">  </w:t>
      </w:r>
    </w:p>
    <w:p w14:paraId="7E78639D" w14:textId="77777777" w:rsidR="00FA2B78" w:rsidRPr="00FA2B78" w:rsidRDefault="00FA2B78" w:rsidP="009C3C89">
      <w:pPr>
        <w:pStyle w:val="LTNumber1"/>
        <w:numPr>
          <w:ilvl w:val="0"/>
          <w:numId w:val="0"/>
        </w:numPr>
        <w:tabs>
          <w:tab w:val="left" w:pos="880"/>
        </w:tabs>
        <w:spacing w:after="0"/>
        <w:jc w:val="left"/>
      </w:pPr>
    </w:p>
    <w:p w14:paraId="202FAF04" w14:textId="23B8593E" w:rsidR="002A187F" w:rsidRPr="00FA2B78" w:rsidRDefault="003A627B" w:rsidP="009C3C89">
      <w:pPr>
        <w:pStyle w:val="LTNumber1"/>
        <w:tabs>
          <w:tab w:val="left" w:pos="880"/>
        </w:tabs>
        <w:spacing w:after="0"/>
        <w:ind w:left="360" w:hanging="360"/>
        <w:jc w:val="left"/>
      </w:pPr>
      <w:r w:rsidRPr="003A627B">
        <w:rPr>
          <w:b/>
          <w:color w:val="3B1CFF"/>
        </w:rPr>
        <w:t>[Bureau]</w:t>
      </w:r>
      <w:r w:rsidR="009C3C89" w:rsidRPr="00FA2B78">
        <w:t xml:space="preserve"> </w:t>
      </w:r>
      <w:r w:rsidR="002A187F" w:rsidRPr="00FA2B78">
        <w:t>has disclosed the identity of all our disclosure entities, related parties, public-private partnerships, and all the relationships and transactions related to them.</w:t>
      </w:r>
      <w:r w:rsidR="00FA2B78" w:rsidRPr="00FA2B78">
        <w:t xml:space="preserve">  </w:t>
      </w:r>
    </w:p>
    <w:p w14:paraId="3A66F927" w14:textId="77777777" w:rsidR="00FA2B78" w:rsidRPr="00FA2B78" w:rsidRDefault="00FA2B78" w:rsidP="009C3C89">
      <w:pPr>
        <w:pStyle w:val="LTNumber1"/>
        <w:numPr>
          <w:ilvl w:val="0"/>
          <w:numId w:val="0"/>
        </w:numPr>
        <w:tabs>
          <w:tab w:val="left" w:pos="880"/>
        </w:tabs>
        <w:spacing w:after="0"/>
        <w:jc w:val="left"/>
      </w:pPr>
    </w:p>
    <w:p w14:paraId="6059F090" w14:textId="732137F3" w:rsidR="002A187F" w:rsidRPr="00FA2B78" w:rsidRDefault="00FA2B78" w:rsidP="009C3C89">
      <w:pPr>
        <w:pStyle w:val="LTNumber1"/>
        <w:keepNext/>
        <w:tabs>
          <w:tab w:val="left" w:pos="880"/>
        </w:tabs>
        <w:spacing w:after="0"/>
        <w:ind w:left="360" w:hanging="360"/>
        <w:jc w:val="left"/>
      </w:pPr>
      <w:r>
        <w:t xml:space="preserve">Our bureau </w:t>
      </w:r>
      <w:r w:rsidR="002A187F" w:rsidRPr="00FA2B78">
        <w:t>has properly accounted for and disclosed relationships and transactions with disclosure entities, related parties, and public-private partnerships in the consolidated financial statements, in accordance with U.S. GAAP.</w:t>
      </w:r>
      <w:r w:rsidRPr="00FA2B78">
        <w:t xml:space="preserve">  </w:t>
      </w:r>
    </w:p>
    <w:p w14:paraId="776BB0D2" w14:textId="77777777" w:rsidR="00FA2B78" w:rsidRPr="00FA2B78" w:rsidRDefault="00FA2B78" w:rsidP="009C3C89">
      <w:pPr>
        <w:pStyle w:val="LTNumber1"/>
        <w:keepNext/>
        <w:numPr>
          <w:ilvl w:val="0"/>
          <w:numId w:val="0"/>
        </w:numPr>
        <w:tabs>
          <w:tab w:val="left" w:pos="880"/>
        </w:tabs>
        <w:spacing w:after="0"/>
        <w:jc w:val="left"/>
      </w:pPr>
    </w:p>
    <w:p w14:paraId="756EA26B" w14:textId="37D609EA" w:rsidR="002A187F" w:rsidRPr="00FA2B78" w:rsidRDefault="00FA2B78" w:rsidP="009C3C89">
      <w:pPr>
        <w:pStyle w:val="LTNumber1"/>
        <w:tabs>
          <w:tab w:val="left" w:pos="880"/>
        </w:tabs>
        <w:spacing w:after="0"/>
        <w:ind w:left="360" w:hanging="360"/>
        <w:jc w:val="left"/>
      </w:pPr>
      <w:r>
        <w:t xml:space="preserve">Our Bureau </w:t>
      </w:r>
      <w:r w:rsidR="002A187F" w:rsidRPr="00FA2B78">
        <w:t>has acknowledges and has fulfilled its responsibility for the presentation of the RSI in accordance with the prescribed guidelines and:</w:t>
      </w:r>
      <w:r w:rsidR="009C3C89">
        <w:t xml:space="preserve"> </w:t>
      </w:r>
    </w:p>
    <w:p w14:paraId="3059E878" w14:textId="5FDCE1F9" w:rsidR="002A187F" w:rsidRPr="00FA2B78" w:rsidRDefault="002A187F" w:rsidP="009C3C89">
      <w:pPr>
        <w:pStyle w:val="LTNormalInd"/>
        <w:numPr>
          <w:ilvl w:val="0"/>
          <w:numId w:val="8"/>
        </w:numPr>
        <w:tabs>
          <w:tab w:val="left" w:pos="810"/>
          <w:tab w:val="left" w:pos="5940"/>
        </w:tabs>
        <w:spacing w:after="0"/>
        <w:ind w:left="1080" w:hanging="540"/>
        <w:jc w:val="left"/>
        <w:rPr>
          <w:szCs w:val="22"/>
        </w:rPr>
      </w:pPr>
      <w:r w:rsidRPr="00FA2B78">
        <w:rPr>
          <w:szCs w:val="22"/>
        </w:rPr>
        <w:t>Believe the RSI is measured and presented in accordance with the prescribed guidelines, and is consistent with the consolidated financial statements and contains no material misstatement of fact;</w:t>
      </w:r>
      <w:r w:rsidR="009C3C89">
        <w:rPr>
          <w:szCs w:val="22"/>
        </w:rPr>
        <w:t xml:space="preserve"> </w:t>
      </w:r>
    </w:p>
    <w:p w14:paraId="04381857" w14:textId="0C8B8794" w:rsidR="002A187F" w:rsidRPr="00FA2B78" w:rsidRDefault="002A187F" w:rsidP="009C3C89">
      <w:pPr>
        <w:pStyle w:val="LTNormalInd"/>
        <w:numPr>
          <w:ilvl w:val="0"/>
          <w:numId w:val="8"/>
        </w:numPr>
        <w:tabs>
          <w:tab w:val="left" w:pos="810"/>
          <w:tab w:val="left" w:pos="5940"/>
        </w:tabs>
        <w:spacing w:after="0"/>
        <w:ind w:left="1080" w:hanging="540"/>
        <w:jc w:val="left"/>
        <w:rPr>
          <w:szCs w:val="22"/>
        </w:rPr>
      </w:pPr>
      <w:r w:rsidRPr="00FA2B78">
        <w:rPr>
          <w:szCs w:val="22"/>
        </w:rPr>
        <w:t>The methods of measurement or presentation of the RSI have not changed from those used in the prior period; and</w:t>
      </w:r>
      <w:r w:rsidR="009C3C89">
        <w:rPr>
          <w:szCs w:val="22"/>
        </w:rPr>
        <w:t xml:space="preserve"> </w:t>
      </w:r>
    </w:p>
    <w:p w14:paraId="770A85CA" w14:textId="2F527889" w:rsidR="002A187F" w:rsidRPr="00FA2B78" w:rsidRDefault="002A187F" w:rsidP="009C3C89">
      <w:pPr>
        <w:pStyle w:val="LTNormalInd"/>
        <w:numPr>
          <w:ilvl w:val="0"/>
          <w:numId w:val="8"/>
        </w:numPr>
        <w:tabs>
          <w:tab w:val="left" w:pos="810"/>
          <w:tab w:val="left" w:pos="5940"/>
        </w:tabs>
        <w:spacing w:after="0"/>
        <w:ind w:left="1080" w:hanging="540"/>
        <w:jc w:val="left"/>
        <w:rPr>
          <w:szCs w:val="22"/>
        </w:rPr>
      </w:pPr>
      <w:r w:rsidRPr="00FA2B78">
        <w:rPr>
          <w:szCs w:val="22"/>
        </w:rPr>
        <w:t>The significant assumptions or interpretations underlying the measurement or presentation of the RSI are reasonable and appropriate in the circumstances.</w:t>
      </w:r>
      <w:r w:rsidR="00FA2B78" w:rsidRPr="00FA2B78">
        <w:rPr>
          <w:szCs w:val="22"/>
        </w:rPr>
        <w:t xml:space="preserve">  </w:t>
      </w:r>
    </w:p>
    <w:p w14:paraId="09E6E66E" w14:textId="77777777" w:rsidR="00FA2B78" w:rsidRPr="00FA2B78" w:rsidRDefault="00FA2B78" w:rsidP="009C3C89">
      <w:pPr>
        <w:pStyle w:val="LTNormalInd"/>
        <w:tabs>
          <w:tab w:val="left" w:pos="810"/>
          <w:tab w:val="left" w:pos="5940"/>
        </w:tabs>
        <w:spacing w:after="0"/>
        <w:ind w:left="0"/>
        <w:jc w:val="left"/>
        <w:rPr>
          <w:szCs w:val="22"/>
        </w:rPr>
      </w:pPr>
    </w:p>
    <w:p w14:paraId="69BB7B75" w14:textId="5AFCB507" w:rsidR="002A187F" w:rsidRPr="00FA2B78" w:rsidRDefault="00FA2B78" w:rsidP="009C3C89">
      <w:pPr>
        <w:pStyle w:val="LTNumber1"/>
        <w:tabs>
          <w:tab w:val="left" w:pos="880"/>
        </w:tabs>
        <w:spacing w:after="0"/>
        <w:ind w:left="360" w:hanging="360"/>
        <w:jc w:val="left"/>
      </w:pPr>
      <w:r>
        <w:t>Our bureau</w:t>
      </w:r>
      <w:r w:rsidR="002A187F" w:rsidRPr="00FA2B78">
        <w:t xml:space="preserve"> has fulfilled its responsibility for the preparation and presentation of the Other Information (OI) included in </w:t>
      </w:r>
      <w:r w:rsidR="00934C07" w:rsidRPr="00934C07">
        <w:t xml:space="preserve">the Department’s </w:t>
      </w:r>
      <w:r w:rsidR="00934C07" w:rsidRPr="00603233">
        <w:rPr>
          <w:i/>
          <w:iCs/>
        </w:rPr>
        <w:t>Agency Financial Report</w:t>
      </w:r>
      <w:r w:rsidR="002A187F" w:rsidRPr="00FA2B78">
        <w:t xml:space="preserve"> and auditors’ report and for ensuring the consistency of such information with the consolidated financial statements and RSI and:</w:t>
      </w:r>
      <w:r w:rsidR="009C3C89">
        <w:t xml:space="preserve">  </w:t>
      </w:r>
    </w:p>
    <w:p w14:paraId="587C390E" w14:textId="47DD36C9" w:rsidR="002A187F" w:rsidRPr="00FA2B78" w:rsidRDefault="002A187F" w:rsidP="009C3C89">
      <w:pPr>
        <w:pStyle w:val="LTNormalInd"/>
        <w:numPr>
          <w:ilvl w:val="0"/>
          <w:numId w:val="9"/>
        </w:numPr>
        <w:tabs>
          <w:tab w:val="left" w:pos="810"/>
          <w:tab w:val="left" w:pos="5940"/>
        </w:tabs>
        <w:spacing w:after="0"/>
        <w:ind w:left="1080" w:hanging="540"/>
        <w:jc w:val="left"/>
        <w:rPr>
          <w:szCs w:val="22"/>
        </w:rPr>
      </w:pPr>
      <w:r w:rsidRPr="00FA2B78">
        <w:rPr>
          <w:szCs w:val="22"/>
        </w:rPr>
        <w:t>The OI included in the document containing the consolidated financial statements and auditors’ report is consistent with the consolidated financial statements and RSI and contains no material misstatement of fact;</w:t>
      </w:r>
      <w:r w:rsidR="009C3C89">
        <w:rPr>
          <w:szCs w:val="22"/>
        </w:rPr>
        <w:t xml:space="preserve"> </w:t>
      </w:r>
    </w:p>
    <w:p w14:paraId="30A5AA19" w14:textId="5DC774EB" w:rsidR="002A187F" w:rsidRPr="00FA2B78" w:rsidRDefault="002A187F" w:rsidP="009C3C89">
      <w:pPr>
        <w:pStyle w:val="LTNormalInd"/>
        <w:numPr>
          <w:ilvl w:val="0"/>
          <w:numId w:val="8"/>
        </w:numPr>
        <w:tabs>
          <w:tab w:val="left" w:pos="810"/>
          <w:tab w:val="left" w:pos="5940"/>
        </w:tabs>
        <w:spacing w:after="0"/>
        <w:ind w:left="1080" w:hanging="540"/>
        <w:jc w:val="left"/>
        <w:rPr>
          <w:szCs w:val="22"/>
        </w:rPr>
      </w:pPr>
      <w:r w:rsidRPr="00FA2B78">
        <w:rPr>
          <w:szCs w:val="22"/>
        </w:rPr>
        <w:t>The methods of measurement or presentation of the OI have not changed from those used in the prior period; and</w:t>
      </w:r>
      <w:r w:rsidR="009C3C89">
        <w:rPr>
          <w:szCs w:val="22"/>
        </w:rPr>
        <w:t xml:space="preserve"> </w:t>
      </w:r>
    </w:p>
    <w:p w14:paraId="5E7B5D04" w14:textId="4E6C8009" w:rsidR="002A187F" w:rsidRPr="00FA2B78" w:rsidRDefault="002A187F" w:rsidP="009C3C89">
      <w:pPr>
        <w:pStyle w:val="LTNormalInd"/>
        <w:numPr>
          <w:ilvl w:val="0"/>
          <w:numId w:val="8"/>
        </w:numPr>
        <w:tabs>
          <w:tab w:val="left" w:pos="810"/>
          <w:tab w:val="left" w:pos="5940"/>
        </w:tabs>
        <w:spacing w:after="0"/>
        <w:ind w:left="1080" w:hanging="540"/>
        <w:jc w:val="left"/>
        <w:rPr>
          <w:szCs w:val="22"/>
        </w:rPr>
      </w:pPr>
      <w:r w:rsidRPr="00FA2B78">
        <w:rPr>
          <w:szCs w:val="22"/>
        </w:rPr>
        <w:t>There are no significant assumptions or interpretations underlying the measurement or presentation of the OI.</w:t>
      </w:r>
      <w:r w:rsidR="00FA2B78" w:rsidRPr="00FA2B78">
        <w:rPr>
          <w:szCs w:val="22"/>
        </w:rPr>
        <w:t xml:space="preserve">  </w:t>
      </w:r>
    </w:p>
    <w:p w14:paraId="3378C4CB" w14:textId="77777777" w:rsidR="00FA2B78" w:rsidRPr="00FA2B78" w:rsidRDefault="00FA2B78" w:rsidP="009C3C89">
      <w:pPr>
        <w:pStyle w:val="LTNormalInd"/>
        <w:tabs>
          <w:tab w:val="left" w:pos="810"/>
          <w:tab w:val="left" w:pos="5940"/>
        </w:tabs>
        <w:spacing w:after="0"/>
        <w:ind w:left="0"/>
        <w:jc w:val="left"/>
        <w:rPr>
          <w:szCs w:val="22"/>
        </w:rPr>
      </w:pPr>
    </w:p>
    <w:p w14:paraId="3DAC5DC9" w14:textId="586BF37E" w:rsidR="002A187F" w:rsidRPr="00FA2B78" w:rsidRDefault="002A187F" w:rsidP="009C3C89">
      <w:pPr>
        <w:pStyle w:val="LTNumber1"/>
        <w:tabs>
          <w:tab w:val="left" w:pos="880"/>
        </w:tabs>
        <w:spacing w:after="0"/>
        <w:ind w:left="360" w:hanging="360"/>
        <w:jc w:val="left"/>
      </w:pPr>
      <w:r w:rsidRPr="00FA2B78">
        <w:t xml:space="preserve">In accordance with </w:t>
      </w:r>
      <w:r w:rsidRPr="00FA2B78">
        <w:rPr>
          <w:i/>
        </w:rPr>
        <w:t>Government Auditing Standards</w:t>
      </w:r>
      <w:r w:rsidRPr="00FA2B78">
        <w:t>, we have identified to you all previous audits, attestation engagements, and other studies that relate to the objectives of your audits, including whether related recommendations have been implemented.</w:t>
      </w:r>
      <w:r w:rsidR="00FA2B78" w:rsidRPr="00FA2B78">
        <w:t xml:space="preserve">  </w:t>
      </w:r>
    </w:p>
    <w:p w14:paraId="406902D6" w14:textId="77777777" w:rsidR="00FA2B78" w:rsidRPr="00FA2B78" w:rsidRDefault="00FA2B78" w:rsidP="009C3C89">
      <w:pPr>
        <w:pStyle w:val="LTNumber1"/>
        <w:numPr>
          <w:ilvl w:val="0"/>
          <w:numId w:val="0"/>
        </w:numPr>
        <w:tabs>
          <w:tab w:val="left" w:pos="880"/>
        </w:tabs>
        <w:spacing w:after="0"/>
        <w:jc w:val="left"/>
      </w:pPr>
    </w:p>
    <w:p w14:paraId="1896C11D" w14:textId="2591E2F8" w:rsidR="002A187F" w:rsidRPr="00FA2B78" w:rsidRDefault="003A627B" w:rsidP="009C3C89">
      <w:pPr>
        <w:pStyle w:val="LTNumber1"/>
        <w:tabs>
          <w:tab w:val="left" w:pos="880"/>
        </w:tabs>
        <w:spacing w:after="0"/>
        <w:ind w:left="360" w:hanging="360"/>
        <w:jc w:val="left"/>
      </w:pPr>
      <w:r w:rsidRPr="003A627B">
        <w:rPr>
          <w:b/>
          <w:color w:val="3B1CFF"/>
        </w:rPr>
        <w:t>[Bureau]</w:t>
      </w:r>
      <w:r w:rsidR="002A187F" w:rsidRPr="00FA2B78">
        <w:t xml:space="preserve"> has appropriately identified and eliminated intra-entity transactions and balances for financial reporting purposes. </w:t>
      </w:r>
      <w:r w:rsidR="00FA2B78">
        <w:t xml:space="preserve"> </w:t>
      </w:r>
      <w:r w:rsidR="002A187F" w:rsidRPr="00FA2B78">
        <w:t>We have appropriately identified, recorded, and disclosed all intra-governmental transactions and balances in the consolidated financial statements</w:t>
      </w:r>
      <w:r w:rsidR="00FA2B78" w:rsidRPr="00FA2B78">
        <w:t xml:space="preserve">.  </w:t>
      </w:r>
      <w:r w:rsidR="002A187F" w:rsidRPr="00FA2B78">
        <w:t xml:space="preserve">There are no material unresolved differences in intra-governmental transactions and balances with Federal entity trading partners, and we have made appropriate adjustments to address reconciling items. </w:t>
      </w:r>
      <w:r w:rsidR="00FA2B78" w:rsidRPr="00FA2B78">
        <w:t xml:space="preserve"> </w:t>
      </w:r>
    </w:p>
    <w:p w14:paraId="0DCCE1EC" w14:textId="77777777" w:rsidR="00FA2B78" w:rsidRPr="00FA2B78" w:rsidRDefault="00FA2B78" w:rsidP="009C3C89">
      <w:pPr>
        <w:pStyle w:val="LTNumber1"/>
        <w:numPr>
          <w:ilvl w:val="0"/>
          <w:numId w:val="0"/>
        </w:numPr>
        <w:tabs>
          <w:tab w:val="left" w:pos="880"/>
        </w:tabs>
        <w:spacing w:after="0"/>
        <w:jc w:val="left"/>
      </w:pPr>
    </w:p>
    <w:p w14:paraId="6A7B27E2" w14:textId="7B6062B3" w:rsidR="002A187F" w:rsidRPr="00FA2B78" w:rsidRDefault="00FA2B78" w:rsidP="009C3C89">
      <w:pPr>
        <w:pStyle w:val="LTNumber1"/>
        <w:tabs>
          <w:tab w:val="left" w:pos="880"/>
        </w:tabs>
        <w:spacing w:after="0"/>
        <w:ind w:left="360" w:hanging="360"/>
        <w:jc w:val="left"/>
      </w:pPr>
      <w:r>
        <w:t>Our bureau</w:t>
      </w:r>
      <w:r w:rsidR="002A187F" w:rsidRPr="00FA2B78">
        <w:t xml:space="preserve"> has reconciled the information presented on the Department’s statement of budgetary resources to the information submitted on the Department’s final </w:t>
      </w:r>
      <w:r w:rsidR="002A187F" w:rsidRPr="00FA2B78">
        <w:rPr>
          <w:i/>
        </w:rPr>
        <w:t>Reports on Budget Execution and Budgetary Resources</w:t>
      </w:r>
      <w:r w:rsidR="002A187F" w:rsidRPr="00FA2B78">
        <w:t xml:space="preserve"> (SF-133) which will be used as input for the fiscal year </w:t>
      </w:r>
      <w:r w:rsidR="00D74D70">
        <w:t>2023</w:t>
      </w:r>
      <w:r w:rsidR="00D74D70" w:rsidRPr="00FA2B78">
        <w:t xml:space="preserve"> </w:t>
      </w:r>
      <w:r w:rsidR="002A187F" w:rsidRPr="00FA2B78">
        <w:t xml:space="preserve">actual column of the Program and Financing Schedules reported in the fiscal year </w:t>
      </w:r>
      <w:r w:rsidR="00D74D70">
        <w:t>2025</w:t>
      </w:r>
      <w:r w:rsidR="00D74D70" w:rsidRPr="00FA2B78">
        <w:t xml:space="preserve"> </w:t>
      </w:r>
      <w:r w:rsidR="002A187F" w:rsidRPr="00FA2B78">
        <w:rPr>
          <w:i/>
        </w:rPr>
        <w:t>Budget of the United States Government</w:t>
      </w:r>
      <w:r w:rsidRPr="00FA2B78">
        <w:t xml:space="preserve">.  </w:t>
      </w:r>
      <w:r w:rsidR="002A187F" w:rsidRPr="00FA2B78">
        <w:t xml:space="preserve">Such information is supported by the financial records and related data. </w:t>
      </w:r>
      <w:r w:rsidRPr="00FA2B78">
        <w:t xml:space="preserve"> </w:t>
      </w:r>
    </w:p>
    <w:p w14:paraId="04D918E1" w14:textId="77777777" w:rsidR="00FA2B78" w:rsidRPr="00FA2B78" w:rsidRDefault="00FA2B78" w:rsidP="009C3C89">
      <w:pPr>
        <w:pStyle w:val="LTNumber1"/>
        <w:numPr>
          <w:ilvl w:val="0"/>
          <w:numId w:val="0"/>
        </w:numPr>
        <w:tabs>
          <w:tab w:val="left" w:pos="880"/>
        </w:tabs>
        <w:spacing w:after="0"/>
        <w:jc w:val="left"/>
      </w:pPr>
    </w:p>
    <w:p w14:paraId="11B60BB4" w14:textId="77777777" w:rsidR="002A187F" w:rsidRPr="00FA2B78" w:rsidRDefault="002A187F" w:rsidP="009C3C89">
      <w:pPr>
        <w:pStyle w:val="LTNumber1"/>
        <w:tabs>
          <w:tab w:val="left" w:pos="880"/>
        </w:tabs>
        <w:spacing w:after="0"/>
        <w:ind w:left="360" w:hanging="360"/>
        <w:jc w:val="left"/>
      </w:pPr>
      <w:r w:rsidRPr="00FA2B78">
        <w:lastRenderedPageBreak/>
        <w:t>Service and subservice organizations that we use have not reported to us, nor are we otherwise aware of, any:</w:t>
      </w:r>
    </w:p>
    <w:p w14:paraId="0FEBC2DF" w14:textId="77777777" w:rsidR="002A187F" w:rsidRPr="00FA2B78" w:rsidRDefault="002A187F" w:rsidP="009C3C89">
      <w:pPr>
        <w:pStyle w:val="LTNormalInd"/>
        <w:numPr>
          <w:ilvl w:val="0"/>
          <w:numId w:val="10"/>
        </w:numPr>
        <w:tabs>
          <w:tab w:val="left" w:pos="810"/>
          <w:tab w:val="left" w:pos="5940"/>
        </w:tabs>
        <w:spacing w:after="0"/>
        <w:ind w:hanging="720"/>
        <w:jc w:val="left"/>
        <w:rPr>
          <w:szCs w:val="22"/>
        </w:rPr>
      </w:pPr>
      <w:r w:rsidRPr="00FA2B78">
        <w:rPr>
          <w:szCs w:val="22"/>
        </w:rPr>
        <w:t>Fraud;</w:t>
      </w:r>
    </w:p>
    <w:p w14:paraId="629FAD9E" w14:textId="77777777" w:rsidR="002A187F" w:rsidRPr="00FA2B78" w:rsidRDefault="002A187F" w:rsidP="009C3C89">
      <w:pPr>
        <w:pStyle w:val="LTNormalInd"/>
        <w:numPr>
          <w:ilvl w:val="0"/>
          <w:numId w:val="10"/>
        </w:numPr>
        <w:tabs>
          <w:tab w:val="left" w:pos="810"/>
          <w:tab w:val="left" w:pos="5940"/>
        </w:tabs>
        <w:spacing w:after="0"/>
        <w:ind w:left="1080" w:hanging="540"/>
        <w:jc w:val="left"/>
        <w:rPr>
          <w:szCs w:val="22"/>
        </w:rPr>
      </w:pPr>
      <w:r w:rsidRPr="00FA2B78">
        <w:rPr>
          <w:szCs w:val="22"/>
        </w:rPr>
        <w:t>Noncompliance with applicable laws, regulations, contracts or grant agreements;</w:t>
      </w:r>
    </w:p>
    <w:p w14:paraId="22D4609D" w14:textId="77777777" w:rsidR="002A187F" w:rsidRPr="00FA2B78" w:rsidRDefault="002A187F" w:rsidP="009C3C89">
      <w:pPr>
        <w:pStyle w:val="LTNormalInd"/>
        <w:numPr>
          <w:ilvl w:val="0"/>
          <w:numId w:val="10"/>
        </w:numPr>
        <w:tabs>
          <w:tab w:val="left" w:pos="810"/>
          <w:tab w:val="left" w:pos="5940"/>
        </w:tabs>
        <w:spacing w:after="0"/>
        <w:ind w:left="1080" w:hanging="540"/>
        <w:jc w:val="left"/>
        <w:rPr>
          <w:szCs w:val="22"/>
        </w:rPr>
      </w:pPr>
      <w:r w:rsidRPr="00FA2B78">
        <w:rPr>
          <w:szCs w:val="22"/>
        </w:rPr>
        <w:t>Uncorrected misstatements affecting the consolidated financial statements that are attributable to such service or subservice organizations; or</w:t>
      </w:r>
    </w:p>
    <w:p w14:paraId="488B352F" w14:textId="544D63A6" w:rsidR="002A187F" w:rsidRPr="00FA2B78" w:rsidRDefault="002A187F" w:rsidP="009C3C89">
      <w:pPr>
        <w:pStyle w:val="LTNormalInd"/>
        <w:numPr>
          <w:ilvl w:val="0"/>
          <w:numId w:val="10"/>
        </w:numPr>
        <w:tabs>
          <w:tab w:val="left" w:pos="810"/>
          <w:tab w:val="left" w:pos="5940"/>
        </w:tabs>
        <w:spacing w:after="0"/>
        <w:ind w:left="1080" w:hanging="540"/>
        <w:jc w:val="left"/>
        <w:rPr>
          <w:szCs w:val="22"/>
        </w:rPr>
      </w:pPr>
      <w:r w:rsidRPr="00FA2B78">
        <w:rPr>
          <w:szCs w:val="22"/>
        </w:rPr>
        <w:t xml:space="preserve">Changes in the design, implementation, or operating effectiveness of internal controls at such service or subservice organizations subsequent to the effective dates of the service and subservice organizations’ reports provided to you that could (1) affect the risks of material misstatement of the consolidated financial statements, or (2) result in material misstatements of the financial statements arising from processing errors that would not be prevented, or detected and corrected, on a timely basis. </w:t>
      </w:r>
      <w:r w:rsidR="00754863" w:rsidRPr="00FA2B78">
        <w:rPr>
          <w:szCs w:val="22"/>
        </w:rPr>
        <w:t xml:space="preserve"> </w:t>
      </w:r>
    </w:p>
    <w:p w14:paraId="37F4B9C3" w14:textId="77777777" w:rsidR="00754863" w:rsidRPr="00FA2B78" w:rsidRDefault="00754863" w:rsidP="009C3C89">
      <w:pPr>
        <w:pStyle w:val="LTNormalInd"/>
        <w:tabs>
          <w:tab w:val="left" w:pos="810"/>
          <w:tab w:val="left" w:pos="5940"/>
        </w:tabs>
        <w:spacing w:after="0"/>
        <w:ind w:left="0"/>
        <w:jc w:val="left"/>
        <w:rPr>
          <w:szCs w:val="22"/>
        </w:rPr>
      </w:pPr>
    </w:p>
    <w:p w14:paraId="1F843739" w14:textId="7D0D4D5A" w:rsidR="002A187F" w:rsidRPr="00FA2B78" w:rsidRDefault="002A187F" w:rsidP="009C3C89">
      <w:pPr>
        <w:pStyle w:val="LTNumber1"/>
        <w:tabs>
          <w:tab w:val="left" w:pos="880"/>
        </w:tabs>
        <w:spacing w:after="0"/>
        <w:ind w:left="360" w:hanging="360"/>
        <w:jc w:val="left"/>
      </w:pPr>
      <w:r w:rsidRPr="00FA2B78">
        <w:t xml:space="preserve">To the best of our knowledge and belief, we have provided a complete and accurate listing of our affiliates as defined by the AICPA Code of Professional Conduct interpretation ET 1.224.010 </w:t>
      </w:r>
      <w:r w:rsidRPr="00FA2B78">
        <w:rPr>
          <w:i/>
          <w:iCs/>
        </w:rPr>
        <w:t>Client Affiliates</w:t>
      </w:r>
      <w:r w:rsidRPr="00FA2B78">
        <w:t>.</w:t>
      </w:r>
      <w:r w:rsidR="00754863" w:rsidRPr="00FA2B78">
        <w:t xml:space="preserve">  </w:t>
      </w:r>
    </w:p>
    <w:p w14:paraId="6097D6C7" w14:textId="77777777" w:rsidR="00754863" w:rsidRPr="00FA2B78" w:rsidRDefault="00754863" w:rsidP="009C3C89">
      <w:pPr>
        <w:pStyle w:val="LTNumber1"/>
        <w:numPr>
          <w:ilvl w:val="0"/>
          <w:numId w:val="0"/>
        </w:numPr>
        <w:tabs>
          <w:tab w:val="left" w:pos="880"/>
        </w:tabs>
        <w:spacing w:after="0"/>
        <w:jc w:val="left"/>
      </w:pPr>
    </w:p>
    <w:p w14:paraId="2E4755CF" w14:textId="4FE29C4F" w:rsidR="002A187F" w:rsidRPr="00FA2B78" w:rsidRDefault="003A627B" w:rsidP="009C3C89">
      <w:pPr>
        <w:pStyle w:val="LTNumber1"/>
        <w:tabs>
          <w:tab w:val="left" w:pos="880"/>
        </w:tabs>
        <w:spacing w:after="0"/>
        <w:ind w:left="360" w:hanging="360"/>
        <w:jc w:val="left"/>
      </w:pPr>
      <w:r w:rsidRPr="003A627B">
        <w:rPr>
          <w:b/>
          <w:color w:val="3B1CFF"/>
        </w:rPr>
        <w:t>[Bureau]</w:t>
      </w:r>
      <w:r w:rsidR="002A187F" w:rsidRPr="00FA2B78">
        <w:t xml:space="preserve"> believes that the actuarial assumptions and methods used to measure pension and other actuarial liabilities and costs related to the NOAA Corps benefit plans for financial accounting purposes are appropriate in the circumstances</w:t>
      </w:r>
      <w:r w:rsidR="00754863" w:rsidRPr="00FA2B78">
        <w:t xml:space="preserve">.  </w:t>
      </w:r>
    </w:p>
    <w:p w14:paraId="76D917BD" w14:textId="77777777" w:rsidR="00754863" w:rsidRPr="00FA2B78" w:rsidRDefault="00754863" w:rsidP="009C3C89">
      <w:pPr>
        <w:pStyle w:val="LTNumber1"/>
        <w:numPr>
          <w:ilvl w:val="0"/>
          <w:numId w:val="0"/>
        </w:numPr>
        <w:tabs>
          <w:tab w:val="left" w:pos="880"/>
        </w:tabs>
        <w:spacing w:after="0"/>
        <w:jc w:val="left"/>
      </w:pPr>
    </w:p>
    <w:p w14:paraId="01B3A059" w14:textId="3B90CCCB" w:rsidR="002A187F" w:rsidRPr="00FA2B78" w:rsidRDefault="00FA2B78" w:rsidP="009C3C89">
      <w:pPr>
        <w:pStyle w:val="LTNumber1"/>
        <w:tabs>
          <w:tab w:val="left" w:pos="880"/>
        </w:tabs>
        <w:spacing w:after="0"/>
        <w:ind w:left="360" w:hanging="360"/>
        <w:jc w:val="left"/>
      </w:pPr>
      <w:r>
        <w:t>Our bureau</w:t>
      </w:r>
      <w:r w:rsidR="002A187F" w:rsidRPr="00FA2B78">
        <w:t xml:space="preserve"> believes the current year subsidy and annual re-estimate models used in calculating post-1991 (credit reform) amounts for direct loan and loan guarantee programs:</w:t>
      </w:r>
    </w:p>
    <w:p w14:paraId="631B2802" w14:textId="77777777" w:rsidR="002A187F" w:rsidRPr="00FA2B78" w:rsidRDefault="002A187F" w:rsidP="009C3C89">
      <w:pPr>
        <w:pStyle w:val="LTNormalInd"/>
        <w:numPr>
          <w:ilvl w:val="0"/>
          <w:numId w:val="11"/>
        </w:numPr>
        <w:tabs>
          <w:tab w:val="left" w:pos="810"/>
          <w:tab w:val="left" w:pos="5940"/>
        </w:tabs>
        <w:spacing w:after="0"/>
        <w:ind w:left="1080" w:hanging="540"/>
        <w:jc w:val="left"/>
        <w:rPr>
          <w:szCs w:val="22"/>
        </w:rPr>
      </w:pPr>
      <w:r w:rsidRPr="00FA2B78">
        <w:rPr>
          <w:szCs w:val="22"/>
        </w:rPr>
        <w:t>Employ a reasonable model structure that is mathematically accurate, by cohort;</w:t>
      </w:r>
    </w:p>
    <w:p w14:paraId="23DABEFB" w14:textId="77777777" w:rsidR="002A187F" w:rsidRPr="00FA2B78" w:rsidRDefault="002A187F" w:rsidP="009C3C89">
      <w:pPr>
        <w:pStyle w:val="LTNormalInd"/>
        <w:numPr>
          <w:ilvl w:val="0"/>
          <w:numId w:val="11"/>
        </w:numPr>
        <w:tabs>
          <w:tab w:val="left" w:pos="810"/>
          <w:tab w:val="left" w:pos="5940"/>
        </w:tabs>
        <w:spacing w:after="0"/>
        <w:ind w:left="1080" w:hanging="540"/>
        <w:jc w:val="left"/>
        <w:rPr>
          <w:szCs w:val="22"/>
        </w:rPr>
      </w:pPr>
      <w:r w:rsidRPr="00FA2B78">
        <w:rPr>
          <w:szCs w:val="22"/>
        </w:rPr>
        <w:t>Calculate cash flows in a reasonable and logical manner; and</w:t>
      </w:r>
    </w:p>
    <w:p w14:paraId="19DD5D08" w14:textId="0435B450" w:rsidR="002A187F" w:rsidRPr="00FA2B78" w:rsidRDefault="002A187F" w:rsidP="009C3C89">
      <w:pPr>
        <w:pStyle w:val="LTNormalInd"/>
        <w:numPr>
          <w:ilvl w:val="0"/>
          <w:numId w:val="11"/>
        </w:numPr>
        <w:tabs>
          <w:tab w:val="left" w:pos="810"/>
          <w:tab w:val="left" w:pos="5940"/>
        </w:tabs>
        <w:spacing w:after="0"/>
        <w:ind w:left="1080" w:hanging="540"/>
        <w:jc w:val="left"/>
        <w:rPr>
          <w:szCs w:val="22"/>
        </w:rPr>
      </w:pPr>
      <w:r w:rsidRPr="00FA2B78">
        <w:rPr>
          <w:szCs w:val="22"/>
        </w:rPr>
        <w:t>Utilize reasonable cash flow assumptions that are based on historical experience.</w:t>
      </w:r>
    </w:p>
    <w:p w14:paraId="1B5301BC" w14:textId="77777777" w:rsidR="00754863" w:rsidRPr="00FA2B78" w:rsidRDefault="00754863" w:rsidP="009C3C89">
      <w:pPr>
        <w:pStyle w:val="LTNormalInd"/>
        <w:tabs>
          <w:tab w:val="left" w:pos="810"/>
          <w:tab w:val="left" w:pos="5940"/>
        </w:tabs>
        <w:spacing w:after="0"/>
        <w:ind w:left="0"/>
        <w:jc w:val="left"/>
        <w:rPr>
          <w:szCs w:val="22"/>
        </w:rPr>
      </w:pPr>
    </w:p>
    <w:p w14:paraId="5C46B813" w14:textId="7A8D882D" w:rsidR="002A187F" w:rsidRPr="00FA2B78" w:rsidRDefault="00FA2B78" w:rsidP="009C3C89">
      <w:pPr>
        <w:pStyle w:val="LTNumber1"/>
        <w:tabs>
          <w:tab w:val="left" w:pos="880"/>
        </w:tabs>
        <w:spacing w:after="0"/>
        <w:ind w:left="360" w:hanging="360"/>
        <w:jc w:val="left"/>
      </w:pPr>
      <w:r>
        <w:t xml:space="preserve">Our bureau </w:t>
      </w:r>
      <w:r w:rsidR="002A187F" w:rsidRPr="00FA2B78">
        <w:t>has submitted the fiscal year 202</w:t>
      </w:r>
      <w:r>
        <w:t>3</w:t>
      </w:r>
      <w:r w:rsidR="002A187F" w:rsidRPr="00FA2B78">
        <w:t xml:space="preserve"> re-estimates </w:t>
      </w:r>
      <w:r>
        <w:t>for</w:t>
      </w:r>
      <w:r w:rsidR="002A187F" w:rsidRPr="00FA2B78">
        <w:t xml:space="preserve"> our credit reform programs based on the fiscal year 202</w:t>
      </w:r>
      <w:r>
        <w:t>3</w:t>
      </w:r>
      <w:r w:rsidR="002A187F" w:rsidRPr="00FA2B78">
        <w:t xml:space="preserve"> models supporting the consolidated financial statements.</w:t>
      </w:r>
    </w:p>
    <w:p w14:paraId="20108546" w14:textId="77777777" w:rsidR="002A187F" w:rsidRPr="00FA2B78" w:rsidRDefault="002A187F" w:rsidP="009C3C89">
      <w:pPr>
        <w:pStyle w:val="LTNumber1"/>
        <w:numPr>
          <w:ilvl w:val="0"/>
          <w:numId w:val="0"/>
        </w:numPr>
        <w:tabs>
          <w:tab w:val="left" w:pos="880"/>
        </w:tabs>
        <w:spacing w:after="0"/>
        <w:ind w:left="547" w:hanging="547"/>
        <w:jc w:val="left"/>
      </w:pPr>
    </w:p>
    <w:p w14:paraId="34D59623" w14:textId="77777777" w:rsidR="002A187F" w:rsidRPr="00FA2B78" w:rsidRDefault="002A187F" w:rsidP="009C3C89">
      <w:pPr>
        <w:keepNext/>
        <w:rPr>
          <w:sz w:val="22"/>
          <w:szCs w:val="22"/>
        </w:rPr>
      </w:pPr>
      <w:r w:rsidRPr="00FA2B78">
        <w:rPr>
          <w:sz w:val="22"/>
          <w:szCs w:val="22"/>
        </w:rPr>
        <w:t>Sincerely,</w:t>
      </w:r>
    </w:p>
    <w:p w14:paraId="00ED900A" w14:textId="77777777" w:rsidR="002A187F" w:rsidRPr="00FA2B78" w:rsidRDefault="002A187F" w:rsidP="009C3C89">
      <w:pPr>
        <w:pStyle w:val="LTNumber1"/>
        <w:numPr>
          <w:ilvl w:val="0"/>
          <w:numId w:val="0"/>
        </w:numPr>
        <w:tabs>
          <w:tab w:val="left" w:pos="880"/>
        </w:tabs>
        <w:spacing w:after="0"/>
        <w:ind w:left="547" w:hanging="547"/>
        <w:jc w:val="left"/>
      </w:pPr>
    </w:p>
    <w:p w14:paraId="188A9BE2" w14:textId="51834F5B" w:rsidR="002A187F" w:rsidRPr="00FA2B78" w:rsidRDefault="003A627B" w:rsidP="009C3C89">
      <w:pPr>
        <w:pStyle w:val="LTNumber1"/>
        <w:numPr>
          <w:ilvl w:val="0"/>
          <w:numId w:val="0"/>
        </w:numPr>
        <w:tabs>
          <w:tab w:val="left" w:pos="880"/>
        </w:tabs>
        <w:spacing w:after="0"/>
        <w:ind w:left="547" w:hanging="547"/>
        <w:jc w:val="left"/>
      </w:pPr>
      <w:r w:rsidRPr="003A627B">
        <w:rPr>
          <w:b/>
          <w:color w:val="3B1CFF"/>
        </w:rPr>
        <w:t>[Bureau]</w:t>
      </w:r>
    </w:p>
    <w:p w14:paraId="188AE63D" w14:textId="77777777" w:rsidR="002A187F" w:rsidRPr="00FA2B78" w:rsidRDefault="002A187F" w:rsidP="009C3C89">
      <w:pPr>
        <w:pStyle w:val="LTNumber1"/>
        <w:numPr>
          <w:ilvl w:val="0"/>
          <w:numId w:val="0"/>
        </w:numPr>
        <w:tabs>
          <w:tab w:val="left" w:pos="880"/>
        </w:tabs>
        <w:spacing w:after="0"/>
        <w:ind w:left="547" w:hanging="547"/>
        <w:jc w:val="left"/>
      </w:pPr>
    </w:p>
    <w:p w14:paraId="23AF65AD" w14:textId="77777777" w:rsidR="002A187F" w:rsidRPr="00FA2B78" w:rsidRDefault="002A187F" w:rsidP="009C3C89">
      <w:pPr>
        <w:pStyle w:val="LTNumber1"/>
        <w:numPr>
          <w:ilvl w:val="0"/>
          <w:numId w:val="0"/>
        </w:numPr>
        <w:tabs>
          <w:tab w:val="left" w:pos="880"/>
        </w:tabs>
        <w:spacing w:after="0"/>
        <w:ind w:left="547" w:hanging="547"/>
        <w:jc w:val="left"/>
      </w:pPr>
    </w:p>
    <w:p w14:paraId="1ADC5FD3" w14:textId="77777777" w:rsidR="002A187F" w:rsidRPr="00FA2B78" w:rsidRDefault="002A187F" w:rsidP="009C3C89">
      <w:pPr>
        <w:keepNext/>
        <w:tabs>
          <w:tab w:val="right" w:pos="3600"/>
        </w:tabs>
        <w:rPr>
          <w:sz w:val="22"/>
          <w:szCs w:val="22"/>
          <w:u w:val="single"/>
        </w:rPr>
      </w:pPr>
      <w:r w:rsidRPr="00FA2B78">
        <w:rPr>
          <w:sz w:val="22"/>
          <w:szCs w:val="22"/>
          <w:u w:val="single"/>
        </w:rPr>
        <w:tab/>
      </w:r>
    </w:p>
    <w:p w14:paraId="1354E5CD" w14:textId="40F6DE33" w:rsidR="002A187F" w:rsidRPr="003A627B" w:rsidRDefault="00FA2B78" w:rsidP="009C3C89">
      <w:pPr>
        <w:keepNext/>
        <w:tabs>
          <w:tab w:val="left" w:pos="880"/>
        </w:tabs>
        <w:rPr>
          <w:b/>
          <w:snapToGrid/>
          <w:color w:val="3B1CFF"/>
          <w:sz w:val="22"/>
          <w:szCs w:val="22"/>
        </w:rPr>
      </w:pPr>
      <w:r w:rsidRPr="003A627B">
        <w:rPr>
          <w:b/>
          <w:snapToGrid/>
          <w:color w:val="3B1CFF"/>
          <w:sz w:val="22"/>
          <w:szCs w:val="22"/>
        </w:rPr>
        <w:t>[</w:t>
      </w:r>
      <w:r w:rsidR="002A187F" w:rsidRPr="003A627B">
        <w:rPr>
          <w:b/>
          <w:snapToGrid/>
          <w:color w:val="3B1CFF"/>
          <w:sz w:val="22"/>
          <w:szCs w:val="22"/>
        </w:rPr>
        <w:t>CFO’s Name]</w:t>
      </w:r>
    </w:p>
    <w:p w14:paraId="3B00B7E3" w14:textId="77777777" w:rsidR="002A187F" w:rsidRPr="00FA2B78" w:rsidRDefault="002A187F" w:rsidP="009C3C89">
      <w:pPr>
        <w:keepNext/>
        <w:tabs>
          <w:tab w:val="left" w:pos="880"/>
        </w:tabs>
        <w:rPr>
          <w:i/>
          <w:sz w:val="22"/>
          <w:szCs w:val="22"/>
        </w:rPr>
      </w:pPr>
      <w:r w:rsidRPr="00FA2B78">
        <w:rPr>
          <w:i/>
          <w:sz w:val="22"/>
          <w:szCs w:val="22"/>
        </w:rPr>
        <w:t xml:space="preserve">Chief Financial Officer </w:t>
      </w:r>
    </w:p>
    <w:p w14:paraId="259B4975" w14:textId="77777777" w:rsidR="002A187F" w:rsidRPr="00FA2B78" w:rsidRDefault="002A187F" w:rsidP="009C3C89">
      <w:pPr>
        <w:pStyle w:val="LTNumber1"/>
        <w:numPr>
          <w:ilvl w:val="0"/>
          <w:numId w:val="0"/>
        </w:numPr>
        <w:tabs>
          <w:tab w:val="left" w:pos="880"/>
        </w:tabs>
        <w:spacing w:after="0"/>
        <w:ind w:left="547" w:hanging="547"/>
        <w:jc w:val="left"/>
      </w:pPr>
    </w:p>
    <w:p w14:paraId="515DE252" w14:textId="77777777" w:rsidR="002A187F" w:rsidRPr="00FA2B78" w:rsidRDefault="002A187F" w:rsidP="009C3C89">
      <w:pPr>
        <w:pStyle w:val="LTNumber1"/>
        <w:numPr>
          <w:ilvl w:val="0"/>
          <w:numId w:val="0"/>
        </w:numPr>
        <w:tabs>
          <w:tab w:val="left" w:pos="880"/>
        </w:tabs>
        <w:spacing w:after="0"/>
        <w:ind w:left="547" w:hanging="547"/>
        <w:jc w:val="left"/>
      </w:pPr>
    </w:p>
    <w:p w14:paraId="19C0554F" w14:textId="77777777" w:rsidR="002A187F" w:rsidRPr="00FA2B78" w:rsidRDefault="002A187F" w:rsidP="009C3C89">
      <w:pPr>
        <w:pStyle w:val="LTNumber1"/>
        <w:numPr>
          <w:ilvl w:val="0"/>
          <w:numId w:val="0"/>
        </w:numPr>
        <w:tabs>
          <w:tab w:val="left" w:pos="880"/>
        </w:tabs>
        <w:spacing w:after="0"/>
        <w:ind w:left="547" w:hanging="547"/>
        <w:jc w:val="left"/>
      </w:pPr>
    </w:p>
    <w:p w14:paraId="0295724C" w14:textId="77777777" w:rsidR="002A187F" w:rsidRPr="00FA2B78" w:rsidRDefault="002A187F" w:rsidP="009C3C89">
      <w:pPr>
        <w:keepNext/>
        <w:tabs>
          <w:tab w:val="right" w:pos="3600"/>
        </w:tabs>
        <w:rPr>
          <w:sz w:val="22"/>
          <w:szCs w:val="22"/>
          <w:u w:val="single"/>
        </w:rPr>
      </w:pPr>
      <w:r w:rsidRPr="00FA2B78">
        <w:rPr>
          <w:sz w:val="22"/>
          <w:szCs w:val="22"/>
          <w:u w:val="single"/>
        </w:rPr>
        <w:tab/>
      </w:r>
    </w:p>
    <w:p w14:paraId="3A4E82BC" w14:textId="77777777" w:rsidR="002A187F" w:rsidRPr="003A627B" w:rsidRDefault="002A187F" w:rsidP="009C3C89">
      <w:pPr>
        <w:keepNext/>
        <w:tabs>
          <w:tab w:val="left" w:pos="880"/>
        </w:tabs>
        <w:rPr>
          <w:b/>
          <w:snapToGrid/>
          <w:color w:val="3B1CFF"/>
          <w:sz w:val="22"/>
          <w:szCs w:val="22"/>
        </w:rPr>
      </w:pPr>
      <w:r w:rsidRPr="003A627B">
        <w:rPr>
          <w:b/>
          <w:snapToGrid/>
          <w:color w:val="3B1CFF"/>
          <w:sz w:val="22"/>
          <w:szCs w:val="22"/>
        </w:rPr>
        <w:t>[Finance Officer’s Name]</w:t>
      </w:r>
    </w:p>
    <w:p w14:paraId="70FA37D2" w14:textId="77777777" w:rsidR="002A187F" w:rsidRPr="00FA2B78" w:rsidRDefault="002A187F" w:rsidP="009C3C89">
      <w:pPr>
        <w:keepNext/>
        <w:tabs>
          <w:tab w:val="left" w:pos="880"/>
        </w:tabs>
        <w:rPr>
          <w:i/>
          <w:sz w:val="22"/>
          <w:szCs w:val="22"/>
        </w:rPr>
      </w:pPr>
      <w:r w:rsidRPr="00FA2B78">
        <w:rPr>
          <w:i/>
          <w:sz w:val="22"/>
          <w:szCs w:val="22"/>
        </w:rPr>
        <w:t xml:space="preserve">Finance Officer </w:t>
      </w:r>
    </w:p>
    <w:p w14:paraId="4A3C55BF" w14:textId="5544A1A4" w:rsidR="002A187F" w:rsidRDefault="002A187F" w:rsidP="009C3C89">
      <w:pPr>
        <w:pStyle w:val="LTNumber1"/>
        <w:numPr>
          <w:ilvl w:val="0"/>
          <w:numId w:val="0"/>
        </w:numPr>
        <w:tabs>
          <w:tab w:val="left" w:pos="880"/>
        </w:tabs>
        <w:spacing w:after="0"/>
        <w:ind w:left="547" w:hanging="547"/>
        <w:jc w:val="left"/>
      </w:pPr>
    </w:p>
    <w:p w14:paraId="44F9F6A1" w14:textId="77777777" w:rsidR="00FA2B78" w:rsidRPr="00FA2B78" w:rsidRDefault="00FA2B78" w:rsidP="009C3C89">
      <w:pPr>
        <w:pStyle w:val="LTNumber1"/>
        <w:numPr>
          <w:ilvl w:val="0"/>
          <w:numId w:val="0"/>
        </w:numPr>
        <w:tabs>
          <w:tab w:val="left" w:pos="880"/>
        </w:tabs>
        <w:spacing w:after="0"/>
        <w:ind w:left="547" w:hanging="547"/>
        <w:jc w:val="left"/>
      </w:pPr>
    </w:p>
    <w:sectPr w:rsidR="00FA2B78" w:rsidRPr="00FA2B78">
      <w:headerReference w:type="default" r:id="rId17"/>
      <w:headerReference w:type="first" r:id="rId18"/>
      <w:endnotePr>
        <w:numFmt w:val="decimal"/>
      </w:endnotePr>
      <w:pgSz w:w="12240" w:h="15840" w:code="1"/>
      <w:pgMar w:top="1440" w:right="1800" w:bottom="1440" w:left="180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E5750" w14:textId="77777777" w:rsidR="00621D80" w:rsidRDefault="00621D80">
      <w:r>
        <w:separator/>
      </w:r>
    </w:p>
  </w:endnote>
  <w:endnote w:type="continuationSeparator" w:id="0">
    <w:p w14:paraId="7BF82DC9" w14:textId="77777777" w:rsidR="00621D80" w:rsidRDefault="006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7868" w14:textId="77777777" w:rsidR="0074428E" w:rsidRDefault="0074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21BD" w14:textId="1E8381E8" w:rsidR="008C3E1C" w:rsidRPr="00AD36AB" w:rsidRDefault="008C3E1C" w:rsidP="00096EEA">
    <w:pPr>
      <w:pStyle w:val="Footer"/>
      <w:rPr>
        <w:color w:val="181818"/>
        <w:szCs w:val="24"/>
      </w:rPr>
    </w:pPr>
    <w:r w:rsidRPr="00AD36AB">
      <w:rPr>
        <w:color w:val="181818"/>
        <w:sz w:val="20"/>
      </w:rPr>
      <w:tab/>
    </w:r>
    <w:r w:rsidRPr="00AD36AB">
      <w:rPr>
        <w:color w:val="181818"/>
        <w:szCs w:val="24"/>
      </w:rPr>
      <w:t>F-</w:t>
    </w:r>
    <w:r w:rsidRPr="00AD36AB">
      <w:rPr>
        <w:color w:val="181818"/>
        <w:szCs w:val="24"/>
      </w:rPr>
      <w:fldChar w:fldCharType="begin"/>
    </w:r>
    <w:r w:rsidRPr="00AD36AB">
      <w:rPr>
        <w:color w:val="181818"/>
        <w:szCs w:val="24"/>
      </w:rPr>
      <w:instrText xml:space="preserve"> PAGE </w:instrText>
    </w:r>
    <w:r w:rsidRPr="00AD36AB">
      <w:rPr>
        <w:color w:val="181818"/>
        <w:szCs w:val="24"/>
      </w:rPr>
      <w:fldChar w:fldCharType="separate"/>
    </w:r>
    <w:r w:rsidR="00D91BC6">
      <w:rPr>
        <w:noProof/>
        <w:color w:val="181818"/>
        <w:szCs w:val="24"/>
      </w:rPr>
      <w:t>11</w:t>
    </w:r>
    <w:r w:rsidRPr="00AD36AB">
      <w:rPr>
        <w:color w:val="181818"/>
        <w:szCs w:val="24"/>
      </w:rPr>
      <w:fldChar w:fldCharType="end"/>
    </w:r>
    <w:r w:rsidRPr="00AD36AB">
      <w:rPr>
        <w:color w:val="181818"/>
        <w:szCs w:val="24"/>
      </w:rPr>
      <w:t xml:space="preserve">  </w:t>
    </w:r>
    <w:r w:rsidRPr="00AD36AB">
      <w:rPr>
        <w:color w:val="181818"/>
        <w:szCs w:val="24"/>
      </w:rPr>
      <w:tab/>
      <w:t xml:space="preserve">   </w:t>
    </w:r>
    <w:r w:rsidR="0038524A">
      <w:rPr>
        <w:color w:val="181818"/>
        <w:szCs w:val="24"/>
      </w:rPr>
      <w:t>September</w:t>
    </w:r>
    <w:r w:rsidR="003A627B">
      <w:rPr>
        <w:color w:val="181818"/>
        <w:szCs w:val="24"/>
      </w:rPr>
      <w:t xml:space="preserve"> </w:t>
    </w:r>
    <w:r w:rsidR="00304D5E">
      <w:rPr>
        <w:color w:val="181818"/>
        <w:szCs w:val="24"/>
      </w:rPr>
      <w:t>202</w:t>
    </w:r>
    <w:r w:rsidR="00D06AA9">
      <w:rPr>
        <w:color w:val="181818"/>
        <w:szCs w:val="24"/>
      </w:rPr>
      <w:t>4</w:t>
    </w:r>
    <w:r w:rsidRPr="00AD36AB">
      <w:rPr>
        <w:color w:val="181818"/>
        <w:szCs w:val="24"/>
      </w:rPr>
      <w:t xml:space="preserve">                                     </w:t>
    </w:r>
    <w:r w:rsidR="00E7009A">
      <w:rPr>
        <w:color w:val="181818"/>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F9DD" w14:textId="387518E3" w:rsidR="008C3E1C" w:rsidRPr="00AD36AB" w:rsidRDefault="008C3E1C">
    <w:pPr>
      <w:pStyle w:val="Footer"/>
      <w:jc w:val="right"/>
      <w:rPr>
        <w:color w:val="181818"/>
      </w:rPr>
    </w:pPr>
    <w:r w:rsidRPr="00AD36AB">
      <w:rPr>
        <w:rStyle w:val="PageNumber"/>
        <w:color w:val="181818"/>
      </w:rPr>
      <w:t>F-</w:t>
    </w:r>
    <w:r w:rsidRPr="00AD36AB">
      <w:rPr>
        <w:rStyle w:val="PageNumber"/>
        <w:color w:val="181818"/>
      </w:rPr>
      <w:fldChar w:fldCharType="begin"/>
    </w:r>
    <w:r w:rsidRPr="00AD36AB">
      <w:rPr>
        <w:rStyle w:val="PageNumber"/>
        <w:color w:val="181818"/>
      </w:rPr>
      <w:instrText xml:space="preserve"> PAGE </w:instrText>
    </w:r>
    <w:r w:rsidRPr="00AD36AB">
      <w:rPr>
        <w:rStyle w:val="PageNumber"/>
        <w:color w:val="181818"/>
      </w:rPr>
      <w:fldChar w:fldCharType="separate"/>
    </w:r>
    <w:r w:rsidR="00D91BC6">
      <w:rPr>
        <w:rStyle w:val="PageNumber"/>
        <w:noProof/>
        <w:color w:val="181818"/>
      </w:rPr>
      <w:t>4</w:t>
    </w:r>
    <w:r w:rsidRPr="00AD36AB">
      <w:rPr>
        <w:rStyle w:val="PageNumber"/>
        <w:color w:val="181818"/>
      </w:rPr>
      <w:fldChar w:fldCharType="end"/>
    </w:r>
    <w:r w:rsidRPr="00AD36AB">
      <w:rPr>
        <w:rStyle w:val="PageNumber"/>
        <w:color w:val="181818"/>
      </w:rPr>
      <w:tab/>
    </w:r>
    <w:r w:rsidR="009F4473">
      <w:rPr>
        <w:rStyle w:val="PageNumber"/>
        <w:color w:val="181818"/>
      </w:rPr>
      <w:t>.September</w:t>
    </w:r>
    <w:r w:rsidR="00483B2A">
      <w:rPr>
        <w:rStyle w:val="PageNumber"/>
        <w:color w:val="181818"/>
      </w:rPr>
      <w:t xml:space="preserve"> </w:t>
    </w:r>
    <w:r w:rsidR="00304D5E">
      <w:rPr>
        <w:rStyle w:val="PageNumber"/>
        <w:color w:val="181818"/>
      </w:rPr>
      <w:t>202</w:t>
    </w:r>
    <w:r w:rsidR="00625973">
      <w:rPr>
        <w:rStyle w:val="PageNumber"/>
        <w:color w:val="1818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85A8" w14:textId="77777777" w:rsidR="00621D80" w:rsidRDefault="00621D80">
      <w:r>
        <w:separator/>
      </w:r>
    </w:p>
  </w:footnote>
  <w:footnote w:type="continuationSeparator" w:id="0">
    <w:p w14:paraId="7D8A353A" w14:textId="77777777" w:rsidR="00621D80" w:rsidRDefault="0062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8F2A" w14:textId="77777777" w:rsidR="0074428E" w:rsidRDefault="0074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72FC" w14:textId="77777777" w:rsidR="008C3E1C" w:rsidRPr="00AD36AB" w:rsidRDefault="008C3E1C">
    <w:pPr>
      <w:jc w:val="right"/>
      <w:rPr>
        <w:color w:val="181818"/>
      </w:rPr>
    </w:pPr>
    <w:r w:rsidRPr="00AD36AB">
      <w:rPr>
        <w:color w:val="181818"/>
      </w:rPr>
      <w:t>Attachment F</w:t>
    </w:r>
  </w:p>
  <w:p w14:paraId="7EB7E5D1" w14:textId="77777777" w:rsidR="008C3E1C" w:rsidRDefault="008C3E1C">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538D" w14:textId="77777777" w:rsidR="0074428E" w:rsidRDefault="00744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EAA8" w14:textId="77777777" w:rsidR="008C3E1C" w:rsidRPr="00AD36AB" w:rsidRDefault="008C3E1C">
    <w:pPr>
      <w:pStyle w:val="Header"/>
      <w:jc w:val="right"/>
      <w:rPr>
        <w:color w:val="181818"/>
      </w:rPr>
    </w:pPr>
    <w:r w:rsidRPr="00AD36AB">
      <w:rPr>
        <w:color w:val="181818"/>
      </w:rPr>
      <w:t>Attachment F, Exhibit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8F8D" w14:textId="77777777" w:rsidR="008C3E1C" w:rsidRPr="00AD36AB" w:rsidRDefault="008C3E1C">
    <w:pPr>
      <w:pStyle w:val="Header"/>
      <w:jc w:val="right"/>
      <w:rPr>
        <w:color w:val="181818"/>
      </w:rPr>
    </w:pPr>
    <w:r w:rsidRPr="00AD36AB">
      <w:rPr>
        <w:rStyle w:val="PageNumber"/>
        <w:color w:val="181818"/>
      </w:rPr>
      <w:t>Attachment F, Exhibit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072"/>
    <w:multiLevelType w:val="multilevel"/>
    <w:tmpl w:val="34A63408"/>
    <w:lvl w:ilvl="0">
      <w:start w:val="1"/>
      <w:numFmt w:val="lowerLetter"/>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 w15:restartNumberingAfterBreak="0">
    <w:nsid w:val="1152267F"/>
    <w:multiLevelType w:val="multilevel"/>
    <w:tmpl w:val="FBC421F8"/>
    <w:lvl w:ilvl="0">
      <w:start w:val="1"/>
      <w:numFmt w:val="decimal"/>
      <w:pStyle w:val="Heading3"/>
      <w:lvlText w:val="%1"/>
      <w:lvlJc w:val="left"/>
      <w:pPr>
        <w:tabs>
          <w:tab w:val="num" w:pos="360"/>
        </w:tabs>
        <w:ind w:left="360" w:hanging="360"/>
      </w:pPr>
    </w:lvl>
    <w:lvl w:ilvl="1">
      <w:start w:val="1"/>
      <w:numFmt w:val="lowerLetter"/>
      <w:lvlText w:val="%2"/>
      <w:lvlJc w:val="left"/>
      <w:pPr>
        <w:tabs>
          <w:tab w:val="num" w:pos="792"/>
        </w:tabs>
        <w:ind w:left="792" w:hanging="432"/>
      </w:pPr>
      <w:rPr>
        <w:rFonts w:hint="default"/>
      </w:rPr>
    </w:lvl>
    <w:lvl w:ilvl="2">
      <w:start w:val="1"/>
      <w:numFmt w:val="lowerRoman"/>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E20671A"/>
    <w:multiLevelType w:val="multilevel"/>
    <w:tmpl w:val="529ECA60"/>
    <w:lvl w:ilvl="0">
      <w:start w:val="1"/>
      <w:numFmt w:val="lowerLetter"/>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 w15:restartNumberingAfterBreak="0">
    <w:nsid w:val="1EC35703"/>
    <w:multiLevelType w:val="multilevel"/>
    <w:tmpl w:val="E0C6A104"/>
    <w:lvl w:ilvl="0">
      <w:start w:val="1"/>
      <w:numFmt w:val="lowerLetter"/>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3D884CFF"/>
    <w:multiLevelType w:val="multilevel"/>
    <w:tmpl w:val="6C60335E"/>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15:restartNumberingAfterBreak="0">
    <w:nsid w:val="404D1484"/>
    <w:multiLevelType w:val="multilevel"/>
    <w:tmpl w:val="35D47A48"/>
    <w:lvl w:ilvl="0">
      <w:start w:val="1"/>
      <w:numFmt w:val="lowerLetter"/>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5F1571A9"/>
    <w:multiLevelType w:val="multilevel"/>
    <w:tmpl w:val="C930CA6E"/>
    <w:styleLink w:val="Style1"/>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720" w:hanging="360"/>
      </w:pPr>
      <w:rPr>
        <w:rFonts w:hint="default"/>
        <w:i w:val="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687D4181"/>
    <w:multiLevelType w:val="multilevel"/>
    <w:tmpl w:val="047A3FC8"/>
    <w:lvl w:ilvl="0">
      <w:start w:val="1"/>
      <w:numFmt w:val="lowerLetter"/>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69D02EFE"/>
    <w:multiLevelType w:val="multilevel"/>
    <w:tmpl w:val="D24C2368"/>
    <w:lvl w:ilvl="0">
      <w:start w:val="1"/>
      <w:numFmt w:val="decimal"/>
      <w:pStyle w:val="LTNumber1"/>
      <w:lvlText w:val="%1."/>
      <w:lvlJc w:val="left"/>
      <w:pPr>
        <w:tabs>
          <w:tab w:val="num" w:pos="547"/>
        </w:tabs>
        <w:ind w:left="547" w:hanging="547"/>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TNumber2"/>
      <w:lvlText w:val="(%2)"/>
      <w:lvlJc w:val="left"/>
      <w:pPr>
        <w:tabs>
          <w:tab w:val="num" w:pos="1094"/>
        </w:tabs>
        <w:ind w:left="1094" w:hanging="547"/>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67"/>
        </w:tabs>
        <w:ind w:left="1267" w:hanging="360"/>
      </w:pPr>
      <w:rPr>
        <w:rFonts w:hint="default"/>
      </w:rPr>
    </w:lvl>
    <w:lvl w:ilvl="3">
      <w:start w:val="1"/>
      <w:numFmt w:val="decimal"/>
      <w:lvlText w:val="(%4)"/>
      <w:lvlJc w:val="left"/>
      <w:pPr>
        <w:tabs>
          <w:tab w:val="num" w:pos="1627"/>
        </w:tabs>
        <w:ind w:left="1627" w:hanging="360"/>
      </w:pPr>
      <w:rPr>
        <w:rFonts w:hint="default"/>
      </w:rPr>
    </w:lvl>
    <w:lvl w:ilvl="4">
      <w:start w:val="1"/>
      <w:numFmt w:val="lowerLetter"/>
      <w:lvlText w:val="(%5)"/>
      <w:lvlJc w:val="left"/>
      <w:pPr>
        <w:tabs>
          <w:tab w:val="num" w:pos="1987"/>
        </w:tabs>
        <w:ind w:left="1987" w:hanging="360"/>
      </w:pPr>
      <w:rPr>
        <w:rFonts w:hint="default"/>
      </w:rPr>
    </w:lvl>
    <w:lvl w:ilvl="5">
      <w:start w:val="1"/>
      <w:numFmt w:val="lowerRoman"/>
      <w:lvlText w:val="(%6)"/>
      <w:lvlJc w:val="left"/>
      <w:pPr>
        <w:tabs>
          <w:tab w:val="num" w:pos="2347"/>
        </w:tabs>
        <w:ind w:left="2347" w:hanging="360"/>
      </w:pPr>
      <w:rPr>
        <w:rFonts w:hint="default"/>
      </w:rPr>
    </w:lvl>
    <w:lvl w:ilvl="6">
      <w:start w:val="1"/>
      <w:numFmt w:val="decimal"/>
      <w:lvlText w:val="%7."/>
      <w:lvlJc w:val="left"/>
      <w:pPr>
        <w:tabs>
          <w:tab w:val="num" w:pos="2707"/>
        </w:tabs>
        <w:ind w:left="2707" w:hanging="360"/>
      </w:pPr>
      <w:rPr>
        <w:rFonts w:hint="default"/>
      </w:rPr>
    </w:lvl>
    <w:lvl w:ilvl="7">
      <w:start w:val="1"/>
      <w:numFmt w:val="lowerLetter"/>
      <w:lvlText w:val="%8."/>
      <w:lvlJc w:val="left"/>
      <w:pPr>
        <w:tabs>
          <w:tab w:val="num" w:pos="3067"/>
        </w:tabs>
        <w:ind w:left="3067" w:hanging="360"/>
      </w:pPr>
      <w:rPr>
        <w:rFonts w:hint="default"/>
      </w:rPr>
    </w:lvl>
    <w:lvl w:ilvl="8">
      <w:start w:val="1"/>
      <w:numFmt w:val="lowerRoman"/>
      <w:lvlText w:val="%9."/>
      <w:lvlJc w:val="left"/>
      <w:pPr>
        <w:tabs>
          <w:tab w:val="num" w:pos="3427"/>
        </w:tabs>
        <w:ind w:left="3427" w:hanging="360"/>
      </w:pPr>
      <w:rPr>
        <w:rFonts w:hint="default"/>
      </w:rPr>
    </w:lvl>
  </w:abstractNum>
  <w:abstractNum w:abstractNumId="9" w15:restartNumberingAfterBreak="0">
    <w:nsid w:val="7233602C"/>
    <w:multiLevelType w:val="multilevel"/>
    <w:tmpl w:val="EC668B98"/>
    <w:lvl w:ilvl="0">
      <w:start w:val="1"/>
      <w:numFmt w:val="lowerLetter"/>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7928371F"/>
    <w:multiLevelType w:val="hybridMultilevel"/>
    <w:tmpl w:val="8942366E"/>
    <w:lvl w:ilvl="0" w:tplc="0409000F">
      <w:start w:val="1"/>
      <w:numFmt w:val="decimal"/>
      <w:lvlText w:val="%1."/>
      <w:lvlJc w:val="left"/>
      <w:pPr>
        <w:ind w:left="720" w:hanging="360"/>
      </w:pPr>
    </w:lvl>
    <w:lvl w:ilvl="1" w:tplc="689A783E">
      <w:start w:val="1"/>
      <w:numFmt w:val="lowerLetter"/>
      <w:lvlText w:val="%2."/>
      <w:lvlJc w:val="left"/>
      <w:pPr>
        <w:ind w:left="1515" w:hanging="43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335847">
    <w:abstractNumId w:val="1"/>
  </w:num>
  <w:num w:numId="2" w16cid:durableId="158817840">
    <w:abstractNumId w:val="8"/>
  </w:num>
  <w:num w:numId="3" w16cid:durableId="1336609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8597316">
    <w:abstractNumId w:val="6"/>
  </w:num>
  <w:num w:numId="5" w16cid:durableId="2091266419">
    <w:abstractNumId w:val="4"/>
  </w:num>
  <w:num w:numId="6" w16cid:durableId="1151287840">
    <w:abstractNumId w:val="0"/>
  </w:num>
  <w:num w:numId="7" w16cid:durableId="1263340584">
    <w:abstractNumId w:val="3"/>
  </w:num>
  <w:num w:numId="8" w16cid:durableId="1016611111">
    <w:abstractNumId w:val="5"/>
  </w:num>
  <w:num w:numId="9" w16cid:durableId="552154039">
    <w:abstractNumId w:val="2"/>
  </w:num>
  <w:num w:numId="10" w16cid:durableId="1490516175">
    <w:abstractNumId w:val="9"/>
  </w:num>
  <w:num w:numId="11" w16cid:durableId="58276465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1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BE"/>
    <w:rsid w:val="00002396"/>
    <w:rsid w:val="00002576"/>
    <w:rsid w:val="000059B3"/>
    <w:rsid w:val="00020DF4"/>
    <w:rsid w:val="00023D5F"/>
    <w:rsid w:val="00025AAE"/>
    <w:rsid w:val="00031694"/>
    <w:rsid w:val="00031FFF"/>
    <w:rsid w:val="00033910"/>
    <w:rsid w:val="00033D35"/>
    <w:rsid w:val="00043AB3"/>
    <w:rsid w:val="000444E2"/>
    <w:rsid w:val="00044FD2"/>
    <w:rsid w:val="00045A02"/>
    <w:rsid w:val="00053B47"/>
    <w:rsid w:val="00055D1D"/>
    <w:rsid w:val="00061685"/>
    <w:rsid w:val="000641FE"/>
    <w:rsid w:val="00065D19"/>
    <w:rsid w:val="00066135"/>
    <w:rsid w:val="00066B55"/>
    <w:rsid w:val="000730D7"/>
    <w:rsid w:val="00074978"/>
    <w:rsid w:val="000768D7"/>
    <w:rsid w:val="0008168B"/>
    <w:rsid w:val="0008328B"/>
    <w:rsid w:val="00085854"/>
    <w:rsid w:val="00091DDF"/>
    <w:rsid w:val="00093084"/>
    <w:rsid w:val="00095B6F"/>
    <w:rsid w:val="00095DAC"/>
    <w:rsid w:val="00096EEA"/>
    <w:rsid w:val="000A1B33"/>
    <w:rsid w:val="000A75CC"/>
    <w:rsid w:val="000B01F9"/>
    <w:rsid w:val="000B07B8"/>
    <w:rsid w:val="000C00D1"/>
    <w:rsid w:val="000C6925"/>
    <w:rsid w:val="000C692F"/>
    <w:rsid w:val="000D1677"/>
    <w:rsid w:val="000D5B6F"/>
    <w:rsid w:val="000E21F6"/>
    <w:rsid w:val="000E33D5"/>
    <w:rsid w:val="000F00C7"/>
    <w:rsid w:val="000F0CA2"/>
    <w:rsid w:val="000F18AA"/>
    <w:rsid w:val="000F2290"/>
    <w:rsid w:val="000F33DC"/>
    <w:rsid w:val="000F4B78"/>
    <w:rsid w:val="001036C1"/>
    <w:rsid w:val="001109BC"/>
    <w:rsid w:val="00110A72"/>
    <w:rsid w:val="00113CE2"/>
    <w:rsid w:val="00114542"/>
    <w:rsid w:val="00115383"/>
    <w:rsid w:val="00116D21"/>
    <w:rsid w:val="00121154"/>
    <w:rsid w:val="00124AB7"/>
    <w:rsid w:val="00131DA4"/>
    <w:rsid w:val="001362F8"/>
    <w:rsid w:val="00146D61"/>
    <w:rsid w:val="00147F6B"/>
    <w:rsid w:val="001523A5"/>
    <w:rsid w:val="00154A0C"/>
    <w:rsid w:val="00160558"/>
    <w:rsid w:val="001642B5"/>
    <w:rsid w:val="00164C58"/>
    <w:rsid w:val="00165827"/>
    <w:rsid w:val="00174BD9"/>
    <w:rsid w:val="00175E89"/>
    <w:rsid w:val="00177E6E"/>
    <w:rsid w:val="001837B5"/>
    <w:rsid w:val="00184042"/>
    <w:rsid w:val="00186AD5"/>
    <w:rsid w:val="0018747B"/>
    <w:rsid w:val="00190A1B"/>
    <w:rsid w:val="00195D88"/>
    <w:rsid w:val="00197FFE"/>
    <w:rsid w:val="001A2D6B"/>
    <w:rsid w:val="001A51C6"/>
    <w:rsid w:val="001B5696"/>
    <w:rsid w:val="001C190C"/>
    <w:rsid w:val="001C57BB"/>
    <w:rsid w:val="001C5B4A"/>
    <w:rsid w:val="001D1006"/>
    <w:rsid w:val="001E10FD"/>
    <w:rsid w:val="001E1EAC"/>
    <w:rsid w:val="001E3717"/>
    <w:rsid w:val="001F17FB"/>
    <w:rsid w:val="001F276A"/>
    <w:rsid w:val="001F5D51"/>
    <w:rsid w:val="002006A6"/>
    <w:rsid w:val="002048F1"/>
    <w:rsid w:val="002059E1"/>
    <w:rsid w:val="002107B8"/>
    <w:rsid w:val="002146CB"/>
    <w:rsid w:val="0021658D"/>
    <w:rsid w:val="00217D17"/>
    <w:rsid w:val="00217D44"/>
    <w:rsid w:val="0022315B"/>
    <w:rsid w:val="0022328A"/>
    <w:rsid w:val="002323DC"/>
    <w:rsid w:val="00240889"/>
    <w:rsid w:val="002461E7"/>
    <w:rsid w:val="002468F4"/>
    <w:rsid w:val="00250C99"/>
    <w:rsid w:val="00253688"/>
    <w:rsid w:val="00255073"/>
    <w:rsid w:val="0025709E"/>
    <w:rsid w:val="002627A0"/>
    <w:rsid w:val="00267624"/>
    <w:rsid w:val="0027158E"/>
    <w:rsid w:val="00277051"/>
    <w:rsid w:val="00284AC2"/>
    <w:rsid w:val="00286D21"/>
    <w:rsid w:val="00287203"/>
    <w:rsid w:val="002A187F"/>
    <w:rsid w:val="002B1476"/>
    <w:rsid w:val="002B469C"/>
    <w:rsid w:val="002B4D35"/>
    <w:rsid w:val="002B56C3"/>
    <w:rsid w:val="002C19F2"/>
    <w:rsid w:val="002C279C"/>
    <w:rsid w:val="002C4D2E"/>
    <w:rsid w:val="002C7395"/>
    <w:rsid w:val="002D3B4C"/>
    <w:rsid w:val="002E2122"/>
    <w:rsid w:val="002E4E76"/>
    <w:rsid w:val="002F462C"/>
    <w:rsid w:val="002F5FCE"/>
    <w:rsid w:val="003016C1"/>
    <w:rsid w:val="00304580"/>
    <w:rsid w:val="00304D5E"/>
    <w:rsid w:val="00305B2B"/>
    <w:rsid w:val="003111E8"/>
    <w:rsid w:val="0031799F"/>
    <w:rsid w:val="00322150"/>
    <w:rsid w:val="00323AB6"/>
    <w:rsid w:val="00326CDD"/>
    <w:rsid w:val="00326F23"/>
    <w:rsid w:val="0032741A"/>
    <w:rsid w:val="003302EF"/>
    <w:rsid w:val="003337D7"/>
    <w:rsid w:val="003346D8"/>
    <w:rsid w:val="00337A39"/>
    <w:rsid w:val="00345365"/>
    <w:rsid w:val="00346CD0"/>
    <w:rsid w:val="00351BF7"/>
    <w:rsid w:val="00353DA7"/>
    <w:rsid w:val="003544F4"/>
    <w:rsid w:val="00357913"/>
    <w:rsid w:val="00365F80"/>
    <w:rsid w:val="00370FAA"/>
    <w:rsid w:val="00373957"/>
    <w:rsid w:val="0037536F"/>
    <w:rsid w:val="003758C3"/>
    <w:rsid w:val="00380B29"/>
    <w:rsid w:val="0038524A"/>
    <w:rsid w:val="0039033F"/>
    <w:rsid w:val="003910AD"/>
    <w:rsid w:val="0039277C"/>
    <w:rsid w:val="003A627B"/>
    <w:rsid w:val="003A6479"/>
    <w:rsid w:val="003A6C3C"/>
    <w:rsid w:val="003B6DD8"/>
    <w:rsid w:val="003B73D0"/>
    <w:rsid w:val="003C07C5"/>
    <w:rsid w:val="003C472B"/>
    <w:rsid w:val="003C5A6B"/>
    <w:rsid w:val="003D2010"/>
    <w:rsid w:val="003D4500"/>
    <w:rsid w:val="003D4CC8"/>
    <w:rsid w:val="003D6E5B"/>
    <w:rsid w:val="003E1F44"/>
    <w:rsid w:val="003E3EA5"/>
    <w:rsid w:val="003E786F"/>
    <w:rsid w:val="003F1106"/>
    <w:rsid w:val="003F1CB2"/>
    <w:rsid w:val="003F5433"/>
    <w:rsid w:val="003F6F7A"/>
    <w:rsid w:val="003F7E05"/>
    <w:rsid w:val="00400479"/>
    <w:rsid w:val="0040304E"/>
    <w:rsid w:val="004050F8"/>
    <w:rsid w:val="00405AC3"/>
    <w:rsid w:val="004062FD"/>
    <w:rsid w:val="0041515F"/>
    <w:rsid w:val="0041589E"/>
    <w:rsid w:val="00420B58"/>
    <w:rsid w:val="00422D66"/>
    <w:rsid w:val="00423DD5"/>
    <w:rsid w:val="00424BE8"/>
    <w:rsid w:val="00425CBC"/>
    <w:rsid w:val="00426138"/>
    <w:rsid w:val="00426DAE"/>
    <w:rsid w:val="00434082"/>
    <w:rsid w:val="00441D5C"/>
    <w:rsid w:val="00445195"/>
    <w:rsid w:val="0045006B"/>
    <w:rsid w:val="00453D84"/>
    <w:rsid w:val="00454BA7"/>
    <w:rsid w:val="00454F2F"/>
    <w:rsid w:val="004554BE"/>
    <w:rsid w:val="0045610C"/>
    <w:rsid w:val="00461852"/>
    <w:rsid w:val="00462CF1"/>
    <w:rsid w:val="0046628D"/>
    <w:rsid w:val="00466570"/>
    <w:rsid w:val="00467B9E"/>
    <w:rsid w:val="00471228"/>
    <w:rsid w:val="00471CE0"/>
    <w:rsid w:val="0047215B"/>
    <w:rsid w:val="00476421"/>
    <w:rsid w:val="004803E4"/>
    <w:rsid w:val="00480913"/>
    <w:rsid w:val="00483B2A"/>
    <w:rsid w:val="0048496A"/>
    <w:rsid w:val="004926F4"/>
    <w:rsid w:val="004A0695"/>
    <w:rsid w:val="004A28F9"/>
    <w:rsid w:val="004A3985"/>
    <w:rsid w:val="004A5200"/>
    <w:rsid w:val="004B3560"/>
    <w:rsid w:val="004C1CDA"/>
    <w:rsid w:val="004C3534"/>
    <w:rsid w:val="004C4B17"/>
    <w:rsid w:val="004D05BA"/>
    <w:rsid w:val="004D1991"/>
    <w:rsid w:val="004D79C0"/>
    <w:rsid w:val="004F15A9"/>
    <w:rsid w:val="004F3FA8"/>
    <w:rsid w:val="004F590D"/>
    <w:rsid w:val="005005A2"/>
    <w:rsid w:val="00503198"/>
    <w:rsid w:val="005047AD"/>
    <w:rsid w:val="0050741D"/>
    <w:rsid w:val="00527E46"/>
    <w:rsid w:val="0053185B"/>
    <w:rsid w:val="00532A35"/>
    <w:rsid w:val="00532CDC"/>
    <w:rsid w:val="00542327"/>
    <w:rsid w:val="00542EC4"/>
    <w:rsid w:val="0054504C"/>
    <w:rsid w:val="005465F6"/>
    <w:rsid w:val="00550CE7"/>
    <w:rsid w:val="005601BE"/>
    <w:rsid w:val="00567674"/>
    <w:rsid w:val="0057167B"/>
    <w:rsid w:val="005739A4"/>
    <w:rsid w:val="00575117"/>
    <w:rsid w:val="005765FF"/>
    <w:rsid w:val="00582FBF"/>
    <w:rsid w:val="005837DC"/>
    <w:rsid w:val="00585BB8"/>
    <w:rsid w:val="00594DB5"/>
    <w:rsid w:val="00595CA4"/>
    <w:rsid w:val="005964BA"/>
    <w:rsid w:val="0059691A"/>
    <w:rsid w:val="005974CF"/>
    <w:rsid w:val="005A30C9"/>
    <w:rsid w:val="005A3A4F"/>
    <w:rsid w:val="005A7470"/>
    <w:rsid w:val="005B3397"/>
    <w:rsid w:val="005C47C3"/>
    <w:rsid w:val="005C7ACA"/>
    <w:rsid w:val="005D1406"/>
    <w:rsid w:val="005D69BC"/>
    <w:rsid w:val="005E073F"/>
    <w:rsid w:val="005E0ECA"/>
    <w:rsid w:val="005E7762"/>
    <w:rsid w:val="005E7C8B"/>
    <w:rsid w:val="005F10FF"/>
    <w:rsid w:val="005F17A9"/>
    <w:rsid w:val="005F3F76"/>
    <w:rsid w:val="005F6153"/>
    <w:rsid w:val="005F7D07"/>
    <w:rsid w:val="00600652"/>
    <w:rsid w:val="006015C8"/>
    <w:rsid w:val="00602CF9"/>
    <w:rsid w:val="00603233"/>
    <w:rsid w:val="006057DE"/>
    <w:rsid w:val="0061069A"/>
    <w:rsid w:val="00612F1F"/>
    <w:rsid w:val="00621591"/>
    <w:rsid w:val="00621D80"/>
    <w:rsid w:val="00625973"/>
    <w:rsid w:val="006357CE"/>
    <w:rsid w:val="006359E9"/>
    <w:rsid w:val="00635EBB"/>
    <w:rsid w:val="006363FD"/>
    <w:rsid w:val="0063686A"/>
    <w:rsid w:val="006377CE"/>
    <w:rsid w:val="00654677"/>
    <w:rsid w:val="00654EA0"/>
    <w:rsid w:val="00656A72"/>
    <w:rsid w:val="00657B2C"/>
    <w:rsid w:val="00660EAA"/>
    <w:rsid w:val="00662083"/>
    <w:rsid w:val="006633BC"/>
    <w:rsid w:val="006642C3"/>
    <w:rsid w:val="00664C5F"/>
    <w:rsid w:val="006671A7"/>
    <w:rsid w:val="00667247"/>
    <w:rsid w:val="00673298"/>
    <w:rsid w:val="00674D67"/>
    <w:rsid w:val="00675352"/>
    <w:rsid w:val="00675568"/>
    <w:rsid w:val="0067614B"/>
    <w:rsid w:val="0067663F"/>
    <w:rsid w:val="00677D9A"/>
    <w:rsid w:val="00680CDC"/>
    <w:rsid w:val="00685244"/>
    <w:rsid w:val="006907F6"/>
    <w:rsid w:val="00696CD6"/>
    <w:rsid w:val="006A072F"/>
    <w:rsid w:val="006A1D77"/>
    <w:rsid w:val="006A1F34"/>
    <w:rsid w:val="006A5351"/>
    <w:rsid w:val="006B2420"/>
    <w:rsid w:val="006B2741"/>
    <w:rsid w:val="006B277D"/>
    <w:rsid w:val="006B39AE"/>
    <w:rsid w:val="006B567C"/>
    <w:rsid w:val="006B595A"/>
    <w:rsid w:val="006B7033"/>
    <w:rsid w:val="006C327E"/>
    <w:rsid w:val="006C58CC"/>
    <w:rsid w:val="006C5AB8"/>
    <w:rsid w:val="006D0AD4"/>
    <w:rsid w:val="006D1ADE"/>
    <w:rsid w:val="006D2CAE"/>
    <w:rsid w:val="006D2CC5"/>
    <w:rsid w:val="006D54AA"/>
    <w:rsid w:val="006E0253"/>
    <w:rsid w:val="006E0A57"/>
    <w:rsid w:val="006E1D68"/>
    <w:rsid w:val="006E4B07"/>
    <w:rsid w:val="006E5446"/>
    <w:rsid w:val="006E5802"/>
    <w:rsid w:val="006E7BC7"/>
    <w:rsid w:val="006F0D3C"/>
    <w:rsid w:val="006F7A45"/>
    <w:rsid w:val="00701F1E"/>
    <w:rsid w:val="007062A2"/>
    <w:rsid w:val="00711350"/>
    <w:rsid w:val="007139FA"/>
    <w:rsid w:val="00715C8D"/>
    <w:rsid w:val="00716C42"/>
    <w:rsid w:val="007212D7"/>
    <w:rsid w:val="00721C87"/>
    <w:rsid w:val="007233AD"/>
    <w:rsid w:val="00723535"/>
    <w:rsid w:val="007242EA"/>
    <w:rsid w:val="007245F6"/>
    <w:rsid w:val="0073020C"/>
    <w:rsid w:val="00732BBE"/>
    <w:rsid w:val="00735DEE"/>
    <w:rsid w:val="007415B3"/>
    <w:rsid w:val="0074160C"/>
    <w:rsid w:val="00741800"/>
    <w:rsid w:val="00742AC2"/>
    <w:rsid w:val="0074360E"/>
    <w:rsid w:val="0074428E"/>
    <w:rsid w:val="00747E56"/>
    <w:rsid w:val="0075219F"/>
    <w:rsid w:val="00752865"/>
    <w:rsid w:val="00754863"/>
    <w:rsid w:val="007600C7"/>
    <w:rsid w:val="00761236"/>
    <w:rsid w:val="0076462F"/>
    <w:rsid w:val="007679D4"/>
    <w:rsid w:val="007703E8"/>
    <w:rsid w:val="0077157F"/>
    <w:rsid w:val="0077384A"/>
    <w:rsid w:val="00773CB0"/>
    <w:rsid w:val="007762AD"/>
    <w:rsid w:val="00780A0D"/>
    <w:rsid w:val="00784A53"/>
    <w:rsid w:val="00785DC9"/>
    <w:rsid w:val="00786F80"/>
    <w:rsid w:val="007A5020"/>
    <w:rsid w:val="007A5E40"/>
    <w:rsid w:val="007A79BE"/>
    <w:rsid w:val="007B1906"/>
    <w:rsid w:val="007B495E"/>
    <w:rsid w:val="007B63ED"/>
    <w:rsid w:val="007C08B1"/>
    <w:rsid w:val="007C3787"/>
    <w:rsid w:val="007C7F0C"/>
    <w:rsid w:val="007C7F4F"/>
    <w:rsid w:val="007D6B18"/>
    <w:rsid w:val="007E01A8"/>
    <w:rsid w:val="007E13BE"/>
    <w:rsid w:val="007E24C8"/>
    <w:rsid w:val="007E5C09"/>
    <w:rsid w:val="007E6D91"/>
    <w:rsid w:val="007F021C"/>
    <w:rsid w:val="007F2232"/>
    <w:rsid w:val="007F2D61"/>
    <w:rsid w:val="007F3D6D"/>
    <w:rsid w:val="007F6141"/>
    <w:rsid w:val="00804249"/>
    <w:rsid w:val="0081083B"/>
    <w:rsid w:val="00811F5E"/>
    <w:rsid w:val="00813B89"/>
    <w:rsid w:val="008178DD"/>
    <w:rsid w:val="00822A51"/>
    <w:rsid w:val="0082461C"/>
    <w:rsid w:val="00830F1E"/>
    <w:rsid w:val="00831A6A"/>
    <w:rsid w:val="00836278"/>
    <w:rsid w:val="00844EB3"/>
    <w:rsid w:val="00846051"/>
    <w:rsid w:val="00851E3D"/>
    <w:rsid w:val="00852C5A"/>
    <w:rsid w:val="00854039"/>
    <w:rsid w:val="008562E1"/>
    <w:rsid w:val="00856E05"/>
    <w:rsid w:val="0086069A"/>
    <w:rsid w:val="008625FF"/>
    <w:rsid w:val="00865FB3"/>
    <w:rsid w:val="00866408"/>
    <w:rsid w:val="00876DF1"/>
    <w:rsid w:val="00877838"/>
    <w:rsid w:val="00877AB5"/>
    <w:rsid w:val="00880174"/>
    <w:rsid w:val="008819E4"/>
    <w:rsid w:val="00885683"/>
    <w:rsid w:val="008869A7"/>
    <w:rsid w:val="00895B11"/>
    <w:rsid w:val="00897DAC"/>
    <w:rsid w:val="008A0216"/>
    <w:rsid w:val="008A1382"/>
    <w:rsid w:val="008A4663"/>
    <w:rsid w:val="008B322C"/>
    <w:rsid w:val="008B5319"/>
    <w:rsid w:val="008B69D7"/>
    <w:rsid w:val="008C1A69"/>
    <w:rsid w:val="008C3E1C"/>
    <w:rsid w:val="008C4215"/>
    <w:rsid w:val="008C7261"/>
    <w:rsid w:val="008D300B"/>
    <w:rsid w:val="008D5811"/>
    <w:rsid w:val="008D5D91"/>
    <w:rsid w:val="008D75C8"/>
    <w:rsid w:val="008E3DC4"/>
    <w:rsid w:val="008F0222"/>
    <w:rsid w:val="008F227C"/>
    <w:rsid w:val="008F6BE4"/>
    <w:rsid w:val="008F7C9D"/>
    <w:rsid w:val="009015E7"/>
    <w:rsid w:val="00902A6B"/>
    <w:rsid w:val="00910D47"/>
    <w:rsid w:val="00914293"/>
    <w:rsid w:val="00923D20"/>
    <w:rsid w:val="00924428"/>
    <w:rsid w:val="00924C0A"/>
    <w:rsid w:val="00934B38"/>
    <w:rsid w:val="00934C07"/>
    <w:rsid w:val="00940948"/>
    <w:rsid w:val="00940B2D"/>
    <w:rsid w:val="00943228"/>
    <w:rsid w:val="0094454E"/>
    <w:rsid w:val="00944B17"/>
    <w:rsid w:val="00944DE3"/>
    <w:rsid w:val="00946A05"/>
    <w:rsid w:val="00950036"/>
    <w:rsid w:val="00952583"/>
    <w:rsid w:val="00957D62"/>
    <w:rsid w:val="00966C79"/>
    <w:rsid w:val="009766D8"/>
    <w:rsid w:val="00977327"/>
    <w:rsid w:val="0097748D"/>
    <w:rsid w:val="009803D4"/>
    <w:rsid w:val="009824A2"/>
    <w:rsid w:val="00984FA7"/>
    <w:rsid w:val="009871FD"/>
    <w:rsid w:val="00987BDF"/>
    <w:rsid w:val="00991BDC"/>
    <w:rsid w:val="00992505"/>
    <w:rsid w:val="009951CE"/>
    <w:rsid w:val="009B005A"/>
    <w:rsid w:val="009C3C89"/>
    <w:rsid w:val="009C6FD6"/>
    <w:rsid w:val="009D26B9"/>
    <w:rsid w:val="009D5228"/>
    <w:rsid w:val="009D62BE"/>
    <w:rsid w:val="009D69A1"/>
    <w:rsid w:val="009E507B"/>
    <w:rsid w:val="009E5CF5"/>
    <w:rsid w:val="009E78A1"/>
    <w:rsid w:val="009F1981"/>
    <w:rsid w:val="009F2F65"/>
    <w:rsid w:val="009F4473"/>
    <w:rsid w:val="00A0223C"/>
    <w:rsid w:val="00A06F89"/>
    <w:rsid w:val="00A07BF6"/>
    <w:rsid w:val="00A07EF3"/>
    <w:rsid w:val="00A118B9"/>
    <w:rsid w:val="00A241CC"/>
    <w:rsid w:val="00A329D9"/>
    <w:rsid w:val="00A35045"/>
    <w:rsid w:val="00A44ADC"/>
    <w:rsid w:val="00A50F08"/>
    <w:rsid w:val="00A52F2C"/>
    <w:rsid w:val="00A6132F"/>
    <w:rsid w:val="00A61E64"/>
    <w:rsid w:val="00A649B4"/>
    <w:rsid w:val="00A66200"/>
    <w:rsid w:val="00A73ABB"/>
    <w:rsid w:val="00A73C65"/>
    <w:rsid w:val="00A748F1"/>
    <w:rsid w:val="00A76C1E"/>
    <w:rsid w:val="00A81250"/>
    <w:rsid w:val="00A81A08"/>
    <w:rsid w:val="00A8349C"/>
    <w:rsid w:val="00A842BE"/>
    <w:rsid w:val="00A8646F"/>
    <w:rsid w:val="00AA4C81"/>
    <w:rsid w:val="00AA7BFD"/>
    <w:rsid w:val="00AA7EBF"/>
    <w:rsid w:val="00AB1861"/>
    <w:rsid w:val="00AB25EC"/>
    <w:rsid w:val="00AB2B01"/>
    <w:rsid w:val="00AB6AC9"/>
    <w:rsid w:val="00AC07E4"/>
    <w:rsid w:val="00AC251B"/>
    <w:rsid w:val="00AC3A7F"/>
    <w:rsid w:val="00AC6565"/>
    <w:rsid w:val="00AD158E"/>
    <w:rsid w:val="00AD36AB"/>
    <w:rsid w:val="00AD4EED"/>
    <w:rsid w:val="00AD6754"/>
    <w:rsid w:val="00AE048E"/>
    <w:rsid w:val="00AE5654"/>
    <w:rsid w:val="00AF0605"/>
    <w:rsid w:val="00B159BA"/>
    <w:rsid w:val="00B16006"/>
    <w:rsid w:val="00B22302"/>
    <w:rsid w:val="00B22C7E"/>
    <w:rsid w:val="00B24F70"/>
    <w:rsid w:val="00B426DF"/>
    <w:rsid w:val="00B42FE0"/>
    <w:rsid w:val="00B43F90"/>
    <w:rsid w:val="00B47F7D"/>
    <w:rsid w:val="00B55787"/>
    <w:rsid w:val="00B62FEA"/>
    <w:rsid w:val="00B638B5"/>
    <w:rsid w:val="00B661AF"/>
    <w:rsid w:val="00B72F8D"/>
    <w:rsid w:val="00B80244"/>
    <w:rsid w:val="00B8557A"/>
    <w:rsid w:val="00B95443"/>
    <w:rsid w:val="00B95B3B"/>
    <w:rsid w:val="00BA1BA8"/>
    <w:rsid w:val="00BA2F5C"/>
    <w:rsid w:val="00BA3037"/>
    <w:rsid w:val="00BA56B7"/>
    <w:rsid w:val="00BA59D6"/>
    <w:rsid w:val="00BA6A2C"/>
    <w:rsid w:val="00BB5C28"/>
    <w:rsid w:val="00BC4E69"/>
    <w:rsid w:val="00BD52F7"/>
    <w:rsid w:val="00BE2D13"/>
    <w:rsid w:val="00BE7F93"/>
    <w:rsid w:val="00BF0481"/>
    <w:rsid w:val="00C06FA2"/>
    <w:rsid w:val="00C10328"/>
    <w:rsid w:val="00C1203F"/>
    <w:rsid w:val="00C1222C"/>
    <w:rsid w:val="00C2060D"/>
    <w:rsid w:val="00C22B94"/>
    <w:rsid w:val="00C27CAA"/>
    <w:rsid w:val="00C31892"/>
    <w:rsid w:val="00C31C26"/>
    <w:rsid w:val="00C31E84"/>
    <w:rsid w:val="00C327FE"/>
    <w:rsid w:val="00C33331"/>
    <w:rsid w:val="00C34F11"/>
    <w:rsid w:val="00C3541E"/>
    <w:rsid w:val="00C36BD3"/>
    <w:rsid w:val="00C41CD9"/>
    <w:rsid w:val="00C42A1A"/>
    <w:rsid w:val="00C43AC0"/>
    <w:rsid w:val="00C43D3A"/>
    <w:rsid w:val="00C4554B"/>
    <w:rsid w:val="00C46A82"/>
    <w:rsid w:val="00C50BA4"/>
    <w:rsid w:val="00C50D6B"/>
    <w:rsid w:val="00C54E06"/>
    <w:rsid w:val="00C56C2B"/>
    <w:rsid w:val="00C633DF"/>
    <w:rsid w:val="00C6479F"/>
    <w:rsid w:val="00C6780F"/>
    <w:rsid w:val="00C71370"/>
    <w:rsid w:val="00C71404"/>
    <w:rsid w:val="00C71457"/>
    <w:rsid w:val="00C733A7"/>
    <w:rsid w:val="00C80FA3"/>
    <w:rsid w:val="00C838AA"/>
    <w:rsid w:val="00C84372"/>
    <w:rsid w:val="00C86E9D"/>
    <w:rsid w:val="00C87CD9"/>
    <w:rsid w:val="00C9166E"/>
    <w:rsid w:val="00C91AB6"/>
    <w:rsid w:val="00C91ED0"/>
    <w:rsid w:val="00C93416"/>
    <w:rsid w:val="00C93F0F"/>
    <w:rsid w:val="00CA1711"/>
    <w:rsid w:val="00CA256C"/>
    <w:rsid w:val="00CA624A"/>
    <w:rsid w:val="00CB5EB6"/>
    <w:rsid w:val="00CB7AA7"/>
    <w:rsid w:val="00CC042B"/>
    <w:rsid w:val="00CD13F8"/>
    <w:rsid w:val="00CF3EE0"/>
    <w:rsid w:val="00CF5F7D"/>
    <w:rsid w:val="00CF6026"/>
    <w:rsid w:val="00CF6841"/>
    <w:rsid w:val="00D06AA9"/>
    <w:rsid w:val="00D06BF9"/>
    <w:rsid w:val="00D0767A"/>
    <w:rsid w:val="00D1341E"/>
    <w:rsid w:val="00D14D16"/>
    <w:rsid w:val="00D1701B"/>
    <w:rsid w:val="00D25E75"/>
    <w:rsid w:val="00D32A3E"/>
    <w:rsid w:val="00D3521D"/>
    <w:rsid w:val="00D511AC"/>
    <w:rsid w:val="00D511F0"/>
    <w:rsid w:val="00D51B78"/>
    <w:rsid w:val="00D53B72"/>
    <w:rsid w:val="00D54819"/>
    <w:rsid w:val="00D605A7"/>
    <w:rsid w:val="00D649DC"/>
    <w:rsid w:val="00D72E13"/>
    <w:rsid w:val="00D740E6"/>
    <w:rsid w:val="00D74718"/>
    <w:rsid w:val="00D74D70"/>
    <w:rsid w:val="00D7604E"/>
    <w:rsid w:val="00D76112"/>
    <w:rsid w:val="00D85654"/>
    <w:rsid w:val="00D91BC6"/>
    <w:rsid w:val="00D96C79"/>
    <w:rsid w:val="00D97FA6"/>
    <w:rsid w:val="00DA1130"/>
    <w:rsid w:val="00DA31D1"/>
    <w:rsid w:val="00DA383D"/>
    <w:rsid w:val="00DA7AA9"/>
    <w:rsid w:val="00DA7DA6"/>
    <w:rsid w:val="00DB0877"/>
    <w:rsid w:val="00DB2803"/>
    <w:rsid w:val="00DB350F"/>
    <w:rsid w:val="00DB7B24"/>
    <w:rsid w:val="00DC56D2"/>
    <w:rsid w:val="00DC70F1"/>
    <w:rsid w:val="00DD4006"/>
    <w:rsid w:val="00DD6EDA"/>
    <w:rsid w:val="00DD6FD0"/>
    <w:rsid w:val="00DD798A"/>
    <w:rsid w:val="00DE0EB6"/>
    <w:rsid w:val="00DE7E76"/>
    <w:rsid w:val="00DF0648"/>
    <w:rsid w:val="00DF0CE8"/>
    <w:rsid w:val="00DF2F47"/>
    <w:rsid w:val="00DF4917"/>
    <w:rsid w:val="00DF61B1"/>
    <w:rsid w:val="00DF75B0"/>
    <w:rsid w:val="00E00C3F"/>
    <w:rsid w:val="00E03BFE"/>
    <w:rsid w:val="00E046FF"/>
    <w:rsid w:val="00E12B92"/>
    <w:rsid w:val="00E2373C"/>
    <w:rsid w:val="00E26E1D"/>
    <w:rsid w:val="00E30DC8"/>
    <w:rsid w:val="00E35B3F"/>
    <w:rsid w:val="00E37761"/>
    <w:rsid w:val="00E417DA"/>
    <w:rsid w:val="00E41915"/>
    <w:rsid w:val="00E444B4"/>
    <w:rsid w:val="00E509AC"/>
    <w:rsid w:val="00E539EE"/>
    <w:rsid w:val="00E6092F"/>
    <w:rsid w:val="00E618E8"/>
    <w:rsid w:val="00E7009A"/>
    <w:rsid w:val="00E713AF"/>
    <w:rsid w:val="00E76CA8"/>
    <w:rsid w:val="00E80B48"/>
    <w:rsid w:val="00E82F8B"/>
    <w:rsid w:val="00E86DC1"/>
    <w:rsid w:val="00E903E8"/>
    <w:rsid w:val="00E9242E"/>
    <w:rsid w:val="00E92D57"/>
    <w:rsid w:val="00E9339D"/>
    <w:rsid w:val="00E93AD3"/>
    <w:rsid w:val="00E9473A"/>
    <w:rsid w:val="00E97936"/>
    <w:rsid w:val="00EA1DC4"/>
    <w:rsid w:val="00EA2DBA"/>
    <w:rsid w:val="00EA419C"/>
    <w:rsid w:val="00EA6593"/>
    <w:rsid w:val="00EA770C"/>
    <w:rsid w:val="00EB0984"/>
    <w:rsid w:val="00EB0D90"/>
    <w:rsid w:val="00EB269B"/>
    <w:rsid w:val="00EB3440"/>
    <w:rsid w:val="00EC05D3"/>
    <w:rsid w:val="00EC7A0F"/>
    <w:rsid w:val="00ED01B5"/>
    <w:rsid w:val="00ED0974"/>
    <w:rsid w:val="00ED4653"/>
    <w:rsid w:val="00ED4B60"/>
    <w:rsid w:val="00ED5621"/>
    <w:rsid w:val="00ED7631"/>
    <w:rsid w:val="00EE7412"/>
    <w:rsid w:val="00EF2E64"/>
    <w:rsid w:val="00EF3494"/>
    <w:rsid w:val="00EF732A"/>
    <w:rsid w:val="00EF7942"/>
    <w:rsid w:val="00F00A8F"/>
    <w:rsid w:val="00F01196"/>
    <w:rsid w:val="00F03DC6"/>
    <w:rsid w:val="00F05F76"/>
    <w:rsid w:val="00F067E4"/>
    <w:rsid w:val="00F07470"/>
    <w:rsid w:val="00F10D83"/>
    <w:rsid w:val="00F111CD"/>
    <w:rsid w:val="00F166AD"/>
    <w:rsid w:val="00F21B79"/>
    <w:rsid w:val="00F21CA8"/>
    <w:rsid w:val="00F2202C"/>
    <w:rsid w:val="00F228D0"/>
    <w:rsid w:val="00F27F02"/>
    <w:rsid w:val="00F27FDD"/>
    <w:rsid w:val="00F31E9F"/>
    <w:rsid w:val="00F36271"/>
    <w:rsid w:val="00F40751"/>
    <w:rsid w:val="00F4444C"/>
    <w:rsid w:val="00F448D4"/>
    <w:rsid w:val="00F4565A"/>
    <w:rsid w:val="00F50724"/>
    <w:rsid w:val="00F53418"/>
    <w:rsid w:val="00F55EF6"/>
    <w:rsid w:val="00F57651"/>
    <w:rsid w:val="00F63E2F"/>
    <w:rsid w:val="00F71CEB"/>
    <w:rsid w:val="00F74A9F"/>
    <w:rsid w:val="00F751EA"/>
    <w:rsid w:val="00F75DCD"/>
    <w:rsid w:val="00F762CF"/>
    <w:rsid w:val="00F76F12"/>
    <w:rsid w:val="00F91A1B"/>
    <w:rsid w:val="00F93F5F"/>
    <w:rsid w:val="00F94478"/>
    <w:rsid w:val="00F96844"/>
    <w:rsid w:val="00F96A58"/>
    <w:rsid w:val="00FA1465"/>
    <w:rsid w:val="00FA2B78"/>
    <w:rsid w:val="00FA6A85"/>
    <w:rsid w:val="00FB41E0"/>
    <w:rsid w:val="00FB67EF"/>
    <w:rsid w:val="00FC0E69"/>
    <w:rsid w:val="00FC2797"/>
    <w:rsid w:val="00FC28A8"/>
    <w:rsid w:val="00FD18D3"/>
    <w:rsid w:val="00FD23D5"/>
    <w:rsid w:val="00FD3849"/>
    <w:rsid w:val="00FD63EE"/>
    <w:rsid w:val="00FE0A58"/>
    <w:rsid w:val="00FE33F7"/>
    <w:rsid w:val="00FE3CF1"/>
    <w:rsid w:val="00FE5134"/>
    <w:rsid w:val="00FF18F3"/>
    <w:rsid w:val="00FF3535"/>
    <w:rsid w:val="00FF354A"/>
    <w:rsid w:val="00FF4755"/>
    <w:rsid w:val="00FF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3340A37B"/>
  <w15:docId w15:val="{7DCA1ED5-532C-43C9-A377-866331A2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F10D83"/>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widowControl/>
      <w:numPr>
        <w:numId w:val="1"/>
      </w:numPr>
      <w:outlineLvl w:val="2"/>
    </w:pPr>
    <w:rPr>
      <w:snapToGrid/>
    </w:rPr>
  </w:style>
  <w:style w:type="paragraph" w:styleId="Heading4">
    <w:name w:val="heading 4"/>
    <w:basedOn w:val="Normal"/>
    <w:next w:val="Normal"/>
    <w:qFormat/>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sz w:val="22"/>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Date">
    <w:name w:val="Date"/>
    <w:basedOn w:val="Normal"/>
    <w:next w:val="Normal"/>
  </w:style>
  <w:style w:type="character" w:styleId="PageNumber">
    <w:name w:val="page number"/>
    <w:basedOn w:val="DefaultParagraphFont"/>
  </w:style>
  <w:style w:type="paragraph" w:customStyle="1" w:styleId="NumberIndents">
    <w:name w:val="Number Indents"/>
    <w:basedOn w:val="Normal"/>
    <w:pPr>
      <w:widowControl/>
      <w:spacing w:after="260" w:line="260" w:lineRule="exact"/>
      <w:ind w:left="720" w:hanging="720"/>
    </w:pPr>
    <w:rPr>
      <w:rFonts w:ascii="Times" w:hAnsi="Times"/>
      <w:snapToGrid/>
      <w:sz w:val="22"/>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pPr>
      <w:widowControl/>
      <w:ind w:left="540"/>
    </w:pPr>
    <w:rPr>
      <w:snapToGrid/>
    </w:rPr>
  </w:style>
  <w:style w:type="character" w:styleId="Hyperlink">
    <w:name w:val="Hyperlink"/>
    <w:rsid w:val="0063686A"/>
    <w:rPr>
      <w:strike w:val="0"/>
      <w:dstrike w:val="0"/>
      <w:color w:val="336699"/>
      <w:u w:val="none"/>
      <w:effect w:val="none"/>
    </w:rPr>
  </w:style>
  <w:style w:type="character" w:styleId="Emphasis">
    <w:name w:val="Emphasis"/>
    <w:qFormat/>
    <w:rsid w:val="0063686A"/>
    <w:rPr>
      <w:rFonts w:ascii="Lucida Sans" w:hAnsi="Lucida Sans" w:hint="default"/>
      <w:i/>
      <w:iCs/>
    </w:rPr>
  </w:style>
  <w:style w:type="character" w:customStyle="1" w:styleId="smaller1">
    <w:name w:val="smaller1"/>
    <w:rsid w:val="0063686A"/>
    <w:rPr>
      <w:sz w:val="19"/>
      <w:szCs w:val="19"/>
    </w:rPr>
  </w:style>
  <w:style w:type="character" w:styleId="FollowedHyperlink">
    <w:name w:val="FollowedHyperlink"/>
    <w:rsid w:val="005A7470"/>
    <w:rPr>
      <w:color w:val="800080"/>
      <w:u w:val="single"/>
    </w:rPr>
  </w:style>
  <w:style w:type="paragraph" w:styleId="NormalWeb">
    <w:name w:val="Normal (Web)"/>
    <w:basedOn w:val="Normal"/>
    <w:rsid w:val="005A7470"/>
    <w:pPr>
      <w:widowControl/>
      <w:spacing w:before="100" w:beforeAutospacing="1" w:after="100" w:afterAutospacing="1"/>
    </w:pPr>
    <w:rPr>
      <w:rFonts w:eastAsia="MS Mincho"/>
      <w:snapToGrid/>
      <w:sz w:val="22"/>
      <w:szCs w:val="22"/>
      <w:lang w:eastAsia="ja-JP"/>
    </w:rPr>
  </w:style>
  <w:style w:type="paragraph" w:styleId="ListParagraph">
    <w:name w:val="List Paragraph"/>
    <w:basedOn w:val="Normal"/>
    <w:uiPriority w:val="34"/>
    <w:qFormat/>
    <w:rsid w:val="005A7470"/>
    <w:pPr>
      <w:widowControl/>
      <w:ind w:left="720"/>
      <w:contextualSpacing/>
    </w:pPr>
    <w:rPr>
      <w:snapToGrid/>
      <w:szCs w:val="24"/>
    </w:rPr>
  </w:style>
  <w:style w:type="paragraph" w:customStyle="1" w:styleId="LTNumber1">
    <w:name w:val="LT Number 1"/>
    <w:link w:val="LTNumber1Char"/>
    <w:rsid w:val="005A7470"/>
    <w:pPr>
      <w:numPr>
        <w:numId w:val="2"/>
      </w:numPr>
      <w:spacing w:after="120"/>
      <w:jc w:val="both"/>
    </w:pPr>
    <w:rPr>
      <w:sz w:val="22"/>
      <w:szCs w:val="22"/>
    </w:rPr>
  </w:style>
  <w:style w:type="paragraph" w:customStyle="1" w:styleId="LTNumber2">
    <w:name w:val="LT Number 2"/>
    <w:rsid w:val="005A7470"/>
    <w:pPr>
      <w:numPr>
        <w:ilvl w:val="1"/>
        <w:numId w:val="2"/>
      </w:numPr>
      <w:spacing w:after="120"/>
      <w:jc w:val="both"/>
    </w:pPr>
    <w:rPr>
      <w:sz w:val="22"/>
      <w:szCs w:val="24"/>
    </w:rPr>
  </w:style>
  <w:style w:type="character" w:customStyle="1" w:styleId="LTNumber1Char">
    <w:name w:val="LT Number 1 Char"/>
    <w:link w:val="LTNumber1"/>
    <w:rsid w:val="005A7470"/>
    <w:rPr>
      <w:sz w:val="22"/>
      <w:szCs w:val="22"/>
    </w:rPr>
  </w:style>
  <w:style w:type="character" w:customStyle="1" w:styleId="Heading1Char">
    <w:name w:val="Heading 1 Char"/>
    <w:link w:val="Heading1"/>
    <w:rsid w:val="00F10D83"/>
    <w:rPr>
      <w:rFonts w:ascii="Cambria" w:eastAsia="Times New Roman" w:hAnsi="Cambria" w:cs="Times New Roman"/>
      <w:b/>
      <w:bCs/>
      <w:snapToGrid w:val="0"/>
      <w:kern w:val="32"/>
      <w:sz w:val="32"/>
      <w:szCs w:val="32"/>
    </w:rPr>
  </w:style>
  <w:style w:type="paragraph" w:customStyle="1" w:styleId="section1text">
    <w:name w:val="section1text"/>
    <w:basedOn w:val="Normal"/>
    <w:rsid w:val="00784A53"/>
    <w:pPr>
      <w:widowControl/>
      <w:spacing w:before="100" w:beforeAutospacing="1" w:after="100" w:afterAutospacing="1"/>
    </w:pPr>
    <w:rPr>
      <w:snapToGrid/>
      <w:sz w:val="22"/>
      <w:szCs w:val="22"/>
      <w:lang w:eastAsia="ja-JP"/>
    </w:rPr>
  </w:style>
  <w:style w:type="character" w:styleId="CommentReference">
    <w:name w:val="annotation reference"/>
    <w:basedOn w:val="DefaultParagraphFont"/>
    <w:semiHidden/>
    <w:unhideWhenUsed/>
    <w:rsid w:val="00804249"/>
    <w:rPr>
      <w:sz w:val="16"/>
      <w:szCs w:val="16"/>
    </w:rPr>
  </w:style>
  <w:style w:type="paragraph" w:styleId="CommentText">
    <w:name w:val="annotation text"/>
    <w:basedOn w:val="Normal"/>
    <w:link w:val="CommentTextChar"/>
    <w:unhideWhenUsed/>
    <w:rsid w:val="00804249"/>
    <w:rPr>
      <w:sz w:val="20"/>
    </w:rPr>
  </w:style>
  <w:style w:type="character" w:customStyle="1" w:styleId="CommentTextChar">
    <w:name w:val="Comment Text Char"/>
    <w:basedOn w:val="DefaultParagraphFont"/>
    <w:link w:val="CommentText"/>
    <w:rsid w:val="00804249"/>
    <w:rPr>
      <w:snapToGrid w:val="0"/>
    </w:rPr>
  </w:style>
  <w:style w:type="paragraph" w:styleId="CommentSubject">
    <w:name w:val="annotation subject"/>
    <w:basedOn w:val="CommentText"/>
    <w:next w:val="CommentText"/>
    <w:link w:val="CommentSubjectChar"/>
    <w:semiHidden/>
    <w:unhideWhenUsed/>
    <w:rsid w:val="00804249"/>
    <w:rPr>
      <w:b/>
      <w:bCs/>
    </w:rPr>
  </w:style>
  <w:style w:type="character" w:customStyle="1" w:styleId="CommentSubjectChar">
    <w:name w:val="Comment Subject Char"/>
    <w:basedOn w:val="CommentTextChar"/>
    <w:link w:val="CommentSubject"/>
    <w:semiHidden/>
    <w:rsid w:val="00804249"/>
    <w:rPr>
      <w:b/>
      <w:bCs/>
      <w:snapToGrid w:val="0"/>
    </w:rPr>
  </w:style>
  <w:style w:type="numbering" w:customStyle="1" w:styleId="Style1">
    <w:name w:val="Style1"/>
    <w:uiPriority w:val="99"/>
    <w:rsid w:val="00836278"/>
    <w:pPr>
      <w:numPr>
        <w:numId w:val="4"/>
      </w:numPr>
    </w:pPr>
  </w:style>
  <w:style w:type="paragraph" w:customStyle="1" w:styleId="LTNormal">
    <w:name w:val="LT Normal"/>
    <w:link w:val="LTNormalChar"/>
    <w:rsid w:val="00E509AC"/>
    <w:pPr>
      <w:spacing w:after="160"/>
      <w:jc w:val="both"/>
    </w:pPr>
    <w:rPr>
      <w:sz w:val="22"/>
      <w:szCs w:val="24"/>
    </w:rPr>
  </w:style>
  <w:style w:type="character" w:customStyle="1" w:styleId="LTNormalChar">
    <w:name w:val="LT Normal Char"/>
    <w:link w:val="LTNormal"/>
    <w:rsid w:val="00E509AC"/>
    <w:rPr>
      <w:sz w:val="22"/>
      <w:szCs w:val="24"/>
    </w:rPr>
  </w:style>
  <w:style w:type="paragraph" w:customStyle="1" w:styleId="WPBodyText">
    <w:name w:val="WP_Body Text"/>
    <w:basedOn w:val="Normal"/>
    <w:rsid w:val="00ED4B60"/>
    <w:pPr>
      <w:widowControl/>
      <w:jc w:val="both"/>
    </w:pPr>
    <w:rPr>
      <w:snapToGrid/>
      <w:sz w:val="22"/>
    </w:rPr>
  </w:style>
  <w:style w:type="paragraph" w:styleId="Revision">
    <w:name w:val="Revision"/>
    <w:hidden/>
    <w:uiPriority w:val="99"/>
    <w:semiHidden/>
    <w:rsid w:val="00353DA7"/>
    <w:rPr>
      <w:snapToGrid w:val="0"/>
      <w:sz w:val="24"/>
    </w:rPr>
  </w:style>
  <w:style w:type="character" w:styleId="UnresolvedMention">
    <w:name w:val="Unresolved Mention"/>
    <w:basedOn w:val="DefaultParagraphFont"/>
    <w:uiPriority w:val="99"/>
    <w:semiHidden/>
    <w:unhideWhenUsed/>
    <w:rsid w:val="00165827"/>
    <w:rPr>
      <w:color w:val="605E5C"/>
      <w:shd w:val="clear" w:color="auto" w:fill="E1DFDD"/>
    </w:rPr>
  </w:style>
  <w:style w:type="table" w:styleId="TableGrid">
    <w:name w:val="Table Grid"/>
    <w:basedOn w:val="TableNormal"/>
    <w:rsid w:val="002A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NormalInd">
    <w:name w:val="LT Normal Ind"/>
    <w:basedOn w:val="Normal"/>
    <w:link w:val="LTNormalIndChar"/>
    <w:rsid w:val="002A187F"/>
    <w:pPr>
      <w:widowControl/>
      <w:spacing w:after="160"/>
      <w:ind w:left="547"/>
      <w:jc w:val="both"/>
    </w:pPr>
    <w:rPr>
      <w:snapToGrid/>
      <w:sz w:val="22"/>
      <w:szCs w:val="24"/>
    </w:rPr>
  </w:style>
  <w:style w:type="character" w:customStyle="1" w:styleId="LTNormalIndChar">
    <w:name w:val="LT Normal Ind Char"/>
    <w:link w:val="LTNormalInd"/>
    <w:rsid w:val="002A187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6964">
      <w:bodyDiv w:val="1"/>
      <w:marLeft w:val="0"/>
      <w:marRight w:val="0"/>
      <w:marTop w:val="0"/>
      <w:marBottom w:val="0"/>
      <w:divBdr>
        <w:top w:val="none" w:sz="0" w:space="0" w:color="auto"/>
        <w:left w:val="none" w:sz="0" w:space="0" w:color="auto"/>
        <w:bottom w:val="none" w:sz="0" w:space="0" w:color="auto"/>
        <w:right w:val="none" w:sz="0" w:space="0" w:color="auto"/>
      </w:divBdr>
    </w:div>
    <w:div w:id="17080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omb/information-for-agencies/bulletin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Salzer@doc.gov;SSmith@doc.gov?subject=Attachment%20F%20-%20Management%20Let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alzer@doc.gov;SSmith@doc.gov?subject=Attachment%20F%20-%20Management%20Let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587E-32FE-43BF-81AD-943F7E78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3596</Words>
  <Characters>21362</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Draft Department of Commerce FY 2006/2007 Financial Statements Guidance</vt:lpstr>
    </vt:vector>
  </TitlesOfParts>
  <Company>Microsoft</Company>
  <LinksUpToDate>false</LinksUpToDate>
  <CharactersWithSpaces>24909</CharactersWithSpaces>
  <SharedDoc>false</SharedDoc>
  <HLinks>
    <vt:vector size="6" baseType="variant">
      <vt:variant>
        <vt:i4>5242906</vt:i4>
      </vt:variant>
      <vt:variant>
        <vt:i4>0</vt:i4>
      </vt:variant>
      <vt:variant>
        <vt:i4>0</vt:i4>
      </vt:variant>
      <vt:variant>
        <vt:i4>5</vt:i4>
      </vt:variant>
      <vt:variant>
        <vt:lpwstr>http://www.whitehouse.gov/omb/asset.aspx?AssetId=1807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 2006/2007 Financial Statements Guidance</dc:title>
  <dc:subject/>
  <dc:creator>Shakira Ross</dc:creator>
  <cp:keywords/>
  <dc:description/>
  <cp:lastModifiedBy>Salzer, Kristin (Federal)</cp:lastModifiedBy>
  <cp:revision>74</cp:revision>
  <cp:lastPrinted>2015-12-04T14:13:00Z</cp:lastPrinted>
  <dcterms:created xsi:type="dcterms:W3CDTF">2022-12-02T14:46:00Z</dcterms:created>
  <dcterms:modified xsi:type="dcterms:W3CDTF">2024-09-16T14:53:00Z</dcterms:modified>
</cp:coreProperties>
</file>