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9957E" w14:textId="08B79DC6" w:rsidR="000550BA" w:rsidRPr="00FB655B" w:rsidRDefault="00244F1F" w:rsidP="004C2B0D">
      <w:pPr>
        <w:pStyle w:val="Header"/>
        <w:jc w:val="center"/>
        <w:rPr>
          <w:b/>
          <w:color w:val="161617"/>
          <w:sz w:val="24"/>
        </w:rPr>
      </w:pPr>
      <w:r>
        <w:rPr>
          <w:b/>
          <w:color w:val="161617"/>
          <w:sz w:val="24"/>
        </w:rPr>
        <w:t xml:space="preserve">Final </w:t>
      </w:r>
      <w:r w:rsidR="000550BA" w:rsidRPr="00FB655B">
        <w:rPr>
          <w:b/>
          <w:color w:val="161617"/>
          <w:sz w:val="24"/>
        </w:rPr>
        <w:t>Department of Commerce FY</w:t>
      </w:r>
      <w:r w:rsidR="005B5DF8" w:rsidRPr="00FB655B">
        <w:rPr>
          <w:b/>
          <w:color w:val="161617"/>
          <w:sz w:val="24"/>
        </w:rPr>
        <w:t>s</w:t>
      </w:r>
      <w:r w:rsidR="000550BA" w:rsidRPr="00FB655B">
        <w:rPr>
          <w:b/>
          <w:color w:val="161617"/>
          <w:sz w:val="24"/>
        </w:rPr>
        <w:t xml:space="preserve"> </w:t>
      </w:r>
      <w:r w:rsidR="0054778C">
        <w:rPr>
          <w:b/>
          <w:color w:val="161617"/>
          <w:sz w:val="24"/>
        </w:rPr>
        <w:t>2021/2022</w:t>
      </w:r>
      <w:bookmarkStart w:id="0" w:name="_GoBack"/>
      <w:bookmarkEnd w:id="0"/>
      <w:r w:rsidR="000550BA" w:rsidRPr="00FB655B">
        <w:rPr>
          <w:b/>
          <w:color w:val="161617"/>
          <w:sz w:val="24"/>
        </w:rPr>
        <w:t xml:space="preserve"> Financial Statements Guidance</w:t>
      </w:r>
    </w:p>
    <w:p w14:paraId="3EB8DD23" w14:textId="77777777" w:rsidR="000550BA" w:rsidRPr="00FB655B" w:rsidRDefault="000550BA">
      <w:pPr>
        <w:pStyle w:val="Header"/>
        <w:jc w:val="center"/>
        <w:rPr>
          <w:b/>
          <w:color w:val="161617"/>
          <w:sz w:val="24"/>
        </w:rPr>
      </w:pPr>
      <w:r w:rsidRPr="00FB655B">
        <w:rPr>
          <w:b/>
          <w:color w:val="161617"/>
          <w:sz w:val="24"/>
        </w:rPr>
        <w:t>GSA Federal Buildings Fund Allocation</w:t>
      </w:r>
    </w:p>
    <w:p w14:paraId="550863CD" w14:textId="77777777" w:rsidR="000550BA" w:rsidRPr="00FB655B" w:rsidRDefault="000550BA">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ind w:left="540" w:hanging="540"/>
        <w:rPr>
          <w:b/>
          <w:color w:val="161617"/>
          <w:sz w:val="22"/>
        </w:rPr>
      </w:pPr>
    </w:p>
    <w:p w14:paraId="3DE99261" w14:textId="77777777" w:rsidR="00B13ACA" w:rsidRPr="00FB655B" w:rsidRDefault="00B13ACA">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ind w:left="540" w:hanging="540"/>
        <w:rPr>
          <w:b/>
          <w:color w:val="161617"/>
          <w:sz w:val="22"/>
        </w:rPr>
      </w:pPr>
    </w:p>
    <w:p w14:paraId="44A16416" w14:textId="77777777" w:rsidR="000550BA" w:rsidRPr="00FB655B" w:rsidRDefault="00524D1D">
      <w:pPr>
        <w:pStyle w:val="Heading4"/>
        <w:tabs>
          <w:tab w:val="left" w:pos="9360"/>
        </w:tabs>
        <w:spacing w:line="232" w:lineRule="auto"/>
        <w:rPr>
          <w:color w:val="161617"/>
        </w:rPr>
      </w:pPr>
      <w:r>
        <w:rPr>
          <w:color w:val="161617"/>
        </w:rPr>
        <w:t>I. Purpose</w:t>
      </w:r>
    </w:p>
    <w:p w14:paraId="7E897974" w14:textId="77777777" w:rsidR="000550BA" w:rsidRPr="00FB655B" w:rsidRDefault="000550BA">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rPr>
          <w:color w:val="161617"/>
          <w:sz w:val="22"/>
        </w:rPr>
      </w:pPr>
    </w:p>
    <w:p w14:paraId="7B0552B2" w14:textId="77777777" w:rsidR="0093010F" w:rsidRPr="0093010F" w:rsidRDefault="0093010F">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rPr>
          <w:b/>
          <w:color w:val="161617"/>
          <w:sz w:val="22"/>
        </w:rPr>
      </w:pPr>
      <w:r w:rsidRPr="0093010F">
        <w:rPr>
          <w:b/>
          <w:color w:val="161617"/>
          <w:sz w:val="22"/>
          <w:highlight w:val="green"/>
        </w:rPr>
        <w:t>Please note that no DOC bureaus currently have delegated rent payments.  Attachment H is provided for informational purposes only.</w:t>
      </w:r>
    </w:p>
    <w:p w14:paraId="164264BD" w14:textId="77777777" w:rsidR="000550BA" w:rsidRPr="00FB655B" w:rsidRDefault="00F35EA7">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rPr>
          <w:color w:val="161617"/>
          <w:sz w:val="22"/>
        </w:rPr>
      </w:pPr>
      <w:r w:rsidRPr="00F35EA7">
        <w:rPr>
          <w:color w:val="161617"/>
          <w:sz w:val="22"/>
        </w:rPr>
        <w:t>This attachment provides</w:t>
      </w:r>
      <w:r w:rsidR="000550BA" w:rsidRPr="00F35EA7">
        <w:rPr>
          <w:color w:val="161617"/>
          <w:sz w:val="22"/>
        </w:rPr>
        <w:t xml:space="preserve"> </w:t>
      </w:r>
      <w:r w:rsidR="000550BA" w:rsidRPr="00FB655B">
        <w:rPr>
          <w:color w:val="161617"/>
          <w:sz w:val="22"/>
        </w:rPr>
        <w:t xml:space="preserve">guidance and instructions </w:t>
      </w:r>
      <w:r w:rsidR="00A33F7C">
        <w:rPr>
          <w:color w:val="161617"/>
          <w:sz w:val="22"/>
        </w:rPr>
        <w:t xml:space="preserve">from the Department of Commerce’s (Department) Office of Financial Management (OFM) </w:t>
      </w:r>
      <w:r w:rsidR="000550BA" w:rsidRPr="00FB655B">
        <w:rPr>
          <w:color w:val="161617"/>
          <w:sz w:val="22"/>
        </w:rPr>
        <w:t xml:space="preserve">to the Department's applicable bureaus on their accounting and reporting of proprietary and budgetary activity within the Department's allocation account (Appropriation Symbol </w:t>
      </w:r>
      <w:r w:rsidR="009A1B91">
        <w:rPr>
          <w:color w:val="161617"/>
          <w:sz w:val="22"/>
        </w:rPr>
        <w:t>0</w:t>
      </w:r>
      <w:r w:rsidR="000550BA" w:rsidRPr="00FB655B">
        <w:rPr>
          <w:color w:val="161617"/>
          <w:sz w:val="22"/>
        </w:rPr>
        <w:t>13-</w:t>
      </w:r>
      <w:r w:rsidR="009A1B91">
        <w:rPr>
          <w:color w:val="161617"/>
          <w:sz w:val="22"/>
        </w:rPr>
        <w:t>0</w:t>
      </w:r>
      <w:r w:rsidR="000550BA" w:rsidRPr="00FB655B">
        <w:rPr>
          <w:color w:val="161617"/>
          <w:sz w:val="22"/>
        </w:rPr>
        <w:t>47X4542.001) of the General Services Administration (GSA) Federal Buildings Fund (Ap</w:t>
      </w:r>
      <w:r w:rsidR="00FA62C1">
        <w:rPr>
          <w:color w:val="161617"/>
          <w:sz w:val="22"/>
        </w:rPr>
        <w:t xml:space="preserve">propriation Symbol </w:t>
      </w:r>
      <w:r w:rsidR="009A1B91">
        <w:rPr>
          <w:color w:val="161617"/>
          <w:sz w:val="22"/>
        </w:rPr>
        <w:t>0</w:t>
      </w:r>
      <w:r w:rsidR="00FA62C1">
        <w:rPr>
          <w:color w:val="161617"/>
          <w:sz w:val="22"/>
        </w:rPr>
        <w:t>47X4542.001)</w:t>
      </w:r>
    </w:p>
    <w:p w14:paraId="0C1F53B2" w14:textId="77777777" w:rsidR="000550BA" w:rsidRPr="00FB655B" w:rsidRDefault="000550BA">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rPr>
          <w:color w:val="161617"/>
          <w:sz w:val="22"/>
        </w:rPr>
      </w:pPr>
    </w:p>
    <w:p w14:paraId="28DA8D83" w14:textId="77777777" w:rsidR="00B13ACA" w:rsidRPr="00FB655B" w:rsidRDefault="00B13ACA">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rPr>
          <w:color w:val="161617"/>
          <w:sz w:val="22"/>
        </w:rPr>
      </w:pPr>
    </w:p>
    <w:p w14:paraId="637396C1" w14:textId="77777777" w:rsidR="000550BA" w:rsidRPr="00FB655B" w:rsidRDefault="000550BA">
      <w:pPr>
        <w:pStyle w:val="Heading3"/>
        <w:numPr>
          <w:ilvl w:val="0"/>
          <w:numId w:val="0"/>
        </w:numPr>
        <w:rPr>
          <w:color w:val="161617"/>
        </w:rPr>
      </w:pPr>
      <w:r w:rsidRPr="00FB655B">
        <w:rPr>
          <w:color w:val="161617"/>
        </w:rPr>
        <w:t>II. Background</w:t>
      </w:r>
    </w:p>
    <w:p w14:paraId="646B64D8" w14:textId="77777777" w:rsidR="000550BA" w:rsidRPr="00FB655B" w:rsidRDefault="000550BA">
      <w:pPr>
        <w:rPr>
          <w:color w:val="161617"/>
          <w:sz w:val="22"/>
        </w:rPr>
      </w:pPr>
    </w:p>
    <w:p w14:paraId="0708A08B" w14:textId="77777777" w:rsidR="000550BA" w:rsidRPr="00FB655B" w:rsidRDefault="000550BA">
      <w:pPr>
        <w:rPr>
          <w:color w:val="161617"/>
          <w:sz w:val="22"/>
        </w:rPr>
      </w:pPr>
      <w:r w:rsidRPr="00FB655B">
        <w:rPr>
          <w:color w:val="161617"/>
          <w:sz w:val="22"/>
        </w:rPr>
        <w:t xml:space="preserve">The GSA Federal Buildings Fund is expected to pay approved rents to private landlords for certain GSA-arranged leases for </w:t>
      </w:r>
      <w:r w:rsidR="00F4576C" w:rsidRPr="00FB655B">
        <w:rPr>
          <w:color w:val="161617"/>
          <w:sz w:val="22"/>
        </w:rPr>
        <w:t xml:space="preserve">a few of </w:t>
      </w:r>
      <w:r w:rsidRPr="00FB655B">
        <w:rPr>
          <w:color w:val="161617"/>
          <w:sz w:val="22"/>
        </w:rPr>
        <w:t>the Department's bureaus</w:t>
      </w:r>
      <w:r w:rsidR="007F16DD" w:rsidRPr="00FB655B">
        <w:rPr>
          <w:color w:val="161617"/>
          <w:sz w:val="22"/>
        </w:rPr>
        <w:t xml:space="preserve">.  </w:t>
      </w:r>
      <w:r w:rsidR="00F4576C" w:rsidRPr="00FB655B">
        <w:rPr>
          <w:color w:val="161617"/>
          <w:sz w:val="22"/>
        </w:rPr>
        <w:t>GSA</w:t>
      </w:r>
      <w:r w:rsidRPr="00FB655B">
        <w:rPr>
          <w:color w:val="161617"/>
          <w:sz w:val="22"/>
        </w:rPr>
        <w:t xml:space="preserve"> requires that the Department pay the rents and record budgetary and proprietary transactions in USSGL accounts.  </w:t>
      </w:r>
      <w:r w:rsidR="00CD0573">
        <w:rPr>
          <w:color w:val="161617"/>
          <w:sz w:val="22"/>
        </w:rPr>
        <w:t>Only t</w:t>
      </w:r>
      <w:r w:rsidRPr="00FB655B">
        <w:rPr>
          <w:color w:val="161617"/>
          <w:sz w:val="22"/>
        </w:rPr>
        <w:t>o facilitate this, a Parent-Child appropriation relationship has been established between GSA and the Department.  The Parent Appropriation Agency (</w:t>
      </w:r>
      <w:r w:rsidR="00834789">
        <w:rPr>
          <w:color w:val="161617"/>
          <w:sz w:val="22"/>
        </w:rPr>
        <w:t>0</w:t>
      </w:r>
      <w:r w:rsidRPr="00FB655B">
        <w:rPr>
          <w:color w:val="161617"/>
          <w:sz w:val="22"/>
        </w:rPr>
        <w:t>47X4542.001) allocates funds to the Department, the Transfer Appropriation Agency (</w:t>
      </w:r>
      <w:r w:rsidR="00834789">
        <w:rPr>
          <w:color w:val="161617"/>
          <w:sz w:val="22"/>
        </w:rPr>
        <w:t>0</w:t>
      </w:r>
      <w:r w:rsidRPr="00FB655B">
        <w:rPr>
          <w:color w:val="161617"/>
          <w:sz w:val="22"/>
        </w:rPr>
        <w:t>13-</w:t>
      </w:r>
      <w:r w:rsidR="00834789">
        <w:rPr>
          <w:color w:val="161617"/>
          <w:sz w:val="22"/>
        </w:rPr>
        <w:t>0</w:t>
      </w:r>
      <w:r w:rsidRPr="00FB655B">
        <w:rPr>
          <w:color w:val="161617"/>
          <w:sz w:val="22"/>
        </w:rPr>
        <w:t xml:space="preserve">47X4542.001).  The transfer of funds to the Department is called an Allocation Transfer-In, and is accomplished via a SF-1151, </w:t>
      </w:r>
      <w:r w:rsidRPr="00FB655B">
        <w:rPr>
          <w:i/>
          <w:color w:val="161617"/>
          <w:sz w:val="22"/>
        </w:rPr>
        <w:t>Non</w:t>
      </w:r>
      <w:r w:rsidR="009D1F4D">
        <w:rPr>
          <w:i/>
          <w:color w:val="161617"/>
          <w:sz w:val="22"/>
        </w:rPr>
        <w:t>-</w:t>
      </w:r>
      <w:r w:rsidRPr="00FB655B">
        <w:rPr>
          <w:i/>
          <w:color w:val="161617"/>
          <w:sz w:val="22"/>
        </w:rPr>
        <w:t>expenditure Transfer Authorization</w:t>
      </w:r>
      <w:r w:rsidRPr="00FB655B">
        <w:rPr>
          <w:color w:val="161617"/>
          <w:sz w:val="22"/>
        </w:rPr>
        <w:t xml:space="preserve">.  </w:t>
      </w:r>
    </w:p>
    <w:p w14:paraId="7103A173" w14:textId="77777777" w:rsidR="000550BA" w:rsidRPr="00FB655B" w:rsidRDefault="000550BA">
      <w:pPr>
        <w:rPr>
          <w:color w:val="161617"/>
          <w:sz w:val="22"/>
        </w:rPr>
      </w:pPr>
    </w:p>
    <w:p w14:paraId="3355B862" w14:textId="77777777" w:rsidR="000550BA" w:rsidRPr="00FB655B" w:rsidRDefault="000550BA">
      <w:pPr>
        <w:widowControl/>
        <w:rPr>
          <w:color w:val="161617"/>
          <w:sz w:val="22"/>
        </w:rPr>
      </w:pPr>
      <w:r w:rsidRPr="00FB655B">
        <w:rPr>
          <w:color w:val="161617"/>
          <w:sz w:val="22"/>
        </w:rPr>
        <w:t xml:space="preserve">After the funds are transferred to the Department's allocation account, the </w:t>
      </w:r>
      <w:r w:rsidR="00F90EF8" w:rsidRPr="000A4803">
        <w:rPr>
          <w:color w:val="161617"/>
          <w:sz w:val="22"/>
        </w:rPr>
        <w:t xml:space="preserve">Office of the Secretary, Office of Financial Management </w:t>
      </w:r>
      <w:r w:rsidRPr="000A4803">
        <w:rPr>
          <w:color w:val="161617"/>
          <w:sz w:val="22"/>
        </w:rPr>
        <w:t xml:space="preserve">will allot the funds to the Department's applicable bureaus via a Form CD-3, </w:t>
      </w:r>
      <w:r w:rsidRPr="000A4803">
        <w:rPr>
          <w:i/>
          <w:color w:val="161617"/>
          <w:sz w:val="22"/>
        </w:rPr>
        <w:t>Allotment Advice</w:t>
      </w:r>
      <w:r w:rsidRPr="000A4803">
        <w:rPr>
          <w:color w:val="161617"/>
          <w:sz w:val="22"/>
        </w:rPr>
        <w:t>.  These bureaus will then be authorized to incur obligations and pay approved</w:t>
      </w:r>
      <w:r w:rsidRPr="00FB655B">
        <w:rPr>
          <w:color w:val="161617"/>
          <w:sz w:val="22"/>
        </w:rPr>
        <w:t xml:space="preserve"> rents.  </w:t>
      </w:r>
    </w:p>
    <w:p w14:paraId="7A8F47F6" w14:textId="77777777" w:rsidR="000550BA" w:rsidRPr="00FB655B" w:rsidRDefault="000550BA">
      <w:pPr>
        <w:rPr>
          <w:color w:val="161617"/>
          <w:sz w:val="22"/>
        </w:rPr>
      </w:pPr>
    </w:p>
    <w:p w14:paraId="65C8A9B1" w14:textId="77777777" w:rsidR="000550BA" w:rsidRPr="00FB655B" w:rsidRDefault="000550BA">
      <w:pPr>
        <w:widowControl/>
        <w:autoSpaceDE w:val="0"/>
        <w:autoSpaceDN w:val="0"/>
        <w:adjustRightInd w:val="0"/>
        <w:rPr>
          <w:rFonts w:ascii="TimesNewRomanPS-BoldMT" w:hAnsi="TimesNewRomanPS-BoldMT"/>
          <w:i/>
          <w:iCs/>
          <w:color w:val="161617"/>
          <w:szCs w:val="22"/>
        </w:rPr>
      </w:pPr>
      <w:r w:rsidRPr="00FB655B">
        <w:rPr>
          <w:color w:val="161617"/>
          <w:sz w:val="22"/>
        </w:rPr>
        <w:t xml:space="preserve">Each of the bureaus </w:t>
      </w:r>
      <w:r w:rsidR="006A0768">
        <w:rPr>
          <w:color w:val="161617"/>
          <w:sz w:val="22"/>
        </w:rPr>
        <w:t xml:space="preserve">involved </w:t>
      </w:r>
      <w:r w:rsidRPr="00FB655B">
        <w:rPr>
          <w:color w:val="161617"/>
          <w:sz w:val="22"/>
        </w:rPr>
        <w:t>is required, for its portion of the GSA Federal Buildings Fund, to</w:t>
      </w:r>
      <w:r w:rsidR="00560BF8">
        <w:rPr>
          <w:color w:val="161617"/>
          <w:sz w:val="22"/>
        </w:rPr>
        <w:t xml:space="preserve">: </w:t>
      </w:r>
      <w:r w:rsidR="005F72F8" w:rsidRPr="00FB655B">
        <w:rPr>
          <w:color w:val="161617"/>
          <w:sz w:val="22"/>
        </w:rPr>
        <w:t>(</w:t>
      </w:r>
      <w:r w:rsidRPr="00FB655B">
        <w:rPr>
          <w:color w:val="161617"/>
          <w:sz w:val="22"/>
        </w:rPr>
        <w:t xml:space="preserve">a) maintain a separate general ledger; </w:t>
      </w:r>
      <w:r w:rsidR="007F16DD" w:rsidRPr="00FB655B">
        <w:rPr>
          <w:color w:val="161617"/>
          <w:sz w:val="22"/>
        </w:rPr>
        <w:t>(</w:t>
      </w:r>
      <w:r w:rsidRPr="00FB655B">
        <w:rPr>
          <w:color w:val="161617"/>
          <w:sz w:val="22"/>
        </w:rPr>
        <w:t>b) record all transactions (both proprietary and budgetary entries) in the ge</w:t>
      </w:r>
      <w:r w:rsidR="00111A3E" w:rsidRPr="00FB655B">
        <w:rPr>
          <w:color w:val="161617"/>
          <w:sz w:val="22"/>
        </w:rPr>
        <w:t>neral ledger</w:t>
      </w:r>
      <w:r w:rsidR="005B50C8">
        <w:rPr>
          <w:color w:val="161617"/>
          <w:sz w:val="22"/>
        </w:rPr>
        <w:t>.</w:t>
      </w:r>
    </w:p>
    <w:p w14:paraId="5E22D8EB" w14:textId="77777777" w:rsidR="000550BA" w:rsidRPr="00FB655B" w:rsidRDefault="000550BA">
      <w:pPr>
        <w:rPr>
          <w:color w:val="161617"/>
          <w:sz w:val="22"/>
        </w:rPr>
      </w:pPr>
    </w:p>
    <w:p w14:paraId="79E8A59B" w14:textId="77777777" w:rsidR="000550BA" w:rsidRPr="00FB655B" w:rsidRDefault="000550BA">
      <w:pPr>
        <w:pStyle w:val="BodyText2"/>
        <w:rPr>
          <w:color w:val="161617"/>
        </w:rPr>
      </w:pPr>
      <w:r w:rsidRPr="00FB655B">
        <w:rPr>
          <w:color w:val="161617"/>
        </w:rPr>
        <w:t xml:space="preserve">The Department's allocation account is part of the GSA Federal Buildings </w:t>
      </w:r>
      <w:r w:rsidR="006F5503" w:rsidRPr="00FB655B">
        <w:rPr>
          <w:color w:val="161617"/>
        </w:rPr>
        <w:t>Fund</w:t>
      </w:r>
      <w:r w:rsidR="00F34491">
        <w:rPr>
          <w:color w:val="161617"/>
        </w:rPr>
        <w:t>.  T</w:t>
      </w:r>
      <w:r w:rsidRPr="00FB655B">
        <w:rPr>
          <w:color w:val="161617"/>
        </w:rPr>
        <w:t>herefore, it is not included in the Department's or the bureaus’ financial statements</w:t>
      </w:r>
      <w:r w:rsidR="0072508E">
        <w:rPr>
          <w:color w:val="161617"/>
        </w:rPr>
        <w:t xml:space="preserve"> or</w:t>
      </w:r>
      <w:r w:rsidRPr="00FB655B">
        <w:rPr>
          <w:color w:val="161617"/>
        </w:rPr>
        <w:t xml:space="preserve"> submissions. </w:t>
      </w:r>
      <w:r w:rsidR="007F16DD" w:rsidRPr="00FB655B">
        <w:rPr>
          <w:color w:val="161617"/>
        </w:rPr>
        <w:t xml:space="preserve"> </w:t>
      </w:r>
      <w:r w:rsidRPr="00FB655B">
        <w:rPr>
          <w:color w:val="161617"/>
        </w:rPr>
        <w:t xml:space="preserve">GSA will include the Department's allocation general ledger balances in its financial statements, submissions, based on information submitted to GSA by the Department.  Accordingly, NIST's Finance Division and OFM will collect information from the </w:t>
      </w:r>
      <w:proofErr w:type="gramStart"/>
      <w:r w:rsidRPr="00FB655B">
        <w:rPr>
          <w:color w:val="161617"/>
        </w:rPr>
        <w:t>bureaus, and</w:t>
      </w:r>
      <w:proofErr w:type="gramEnd"/>
      <w:r w:rsidRPr="00FB655B">
        <w:rPr>
          <w:color w:val="161617"/>
        </w:rPr>
        <w:t xml:space="preserve"> consolidate this information to report to GSA. </w:t>
      </w:r>
    </w:p>
    <w:p w14:paraId="6D261D46" w14:textId="77777777" w:rsidR="00B13ACA" w:rsidRDefault="00B13ACA">
      <w:pPr>
        <w:rPr>
          <w:color w:val="161617"/>
          <w:sz w:val="22"/>
        </w:rPr>
      </w:pPr>
    </w:p>
    <w:p w14:paraId="6A3DEAE8" w14:textId="77777777" w:rsidR="009711E5" w:rsidRPr="00FB655B" w:rsidRDefault="009711E5">
      <w:pPr>
        <w:rPr>
          <w:color w:val="161617"/>
          <w:sz w:val="22"/>
        </w:rPr>
      </w:pPr>
    </w:p>
    <w:p w14:paraId="6469B672" w14:textId="77777777" w:rsidR="000550BA" w:rsidRPr="00FB655B" w:rsidRDefault="000550BA">
      <w:pPr>
        <w:pStyle w:val="BodyTextIndent"/>
        <w:rPr>
          <w:color w:val="161617"/>
        </w:rPr>
      </w:pPr>
      <w:r w:rsidRPr="00FB655B">
        <w:rPr>
          <w:color w:val="161617"/>
        </w:rPr>
        <w:t>III.</w:t>
      </w:r>
      <w:r w:rsidR="006A0768">
        <w:rPr>
          <w:color w:val="161617"/>
        </w:rPr>
        <w:t xml:space="preserve"> </w:t>
      </w:r>
      <w:r w:rsidRPr="00FB655B">
        <w:rPr>
          <w:color w:val="161617"/>
        </w:rPr>
        <w:t xml:space="preserve"> Each Bureau’s General Ledger Recording of Transactions </w:t>
      </w:r>
      <w:r w:rsidR="0010129B" w:rsidRPr="00FB655B">
        <w:rPr>
          <w:color w:val="161617"/>
        </w:rPr>
        <w:t>f</w:t>
      </w:r>
      <w:r w:rsidRPr="00FB655B">
        <w:rPr>
          <w:color w:val="161617"/>
        </w:rPr>
        <w:t>or Its Portion of GSA Federal Buildings Fund</w:t>
      </w:r>
    </w:p>
    <w:p w14:paraId="46893065" w14:textId="77777777" w:rsidR="000550BA" w:rsidRPr="00FB655B" w:rsidRDefault="000550BA">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rPr>
          <w:color w:val="161617"/>
          <w:sz w:val="22"/>
        </w:rPr>
      </w:pPr>
    </w:p>
    <w:p w14:paraId="18126BA2" w14:textId="77777777" w:rsidR="000550BA" w:rsidRPr="00FB655B" w:rsidRDefault="000550BA">
      <w:pPr>
        <w:tabs>
          <w:tab w:val="left" w:pos="-1080"/>
          <w:tab w:val="left" w:pos="-720"/>
          <w:tab w:val="left" w:pos="540"/>
          <w:tab w:val="left" w:pos="720"/>
          <w:tab w:val="left" w:pos="990"/>
          <w:tab w:val="left" w:pos="1440"/>
          <w:tab w:val="left" w:pos="1890"/>
          <w:tab w:val="left" w:pos="2520"/>
          <w:tab w:val="left" w:pos="3240"/>
          <w:tab w:val="left" w:pos="3960"/>
          <w:tab w:val="left" w:pos="4680"/>
          <w:tab w:val="left" w:pos="8640"/>
          <w:tab w:val="left" w:pos="9360"/>
        </w:tabs>
        <w:spacing w:line="232" w:lineRule="auto"/>
        <w:ind w:left="990" w:hanging="360"/>
        <w:rPr>
          <w:b/>
          <w:color w:val="161617"/>
          <w:sz w:val="22"/>
        </w:rPr>
      </w:pPr>
      <w:r w:rsidRPr="00FB655B">
        <w:rPr>
          <w:b/>
          <w:color w:val="161617"/>
          <w:sz w:val="22"/>
        </w:rPr>
        <w:tab/>
        <w:t xml:space="preserve">a. Record </w:t>
      </w:r>
      <w:r w:rsidRPr="00FB655B">
        <w:rPr>
          <w:b/>
          <w:color w:val="161617"/>
          <w:sz w:val="22"/>
          <w:szCs w:val="22"/>
        </w:rPr>
        <w:t>a transfer in of unobligated</w:t>
      </w:r>
      <w:r w:rsidR="00F9002F">
        <w:rPr>
          <w:b/>
          <w:color w:val="161617"/>
          <w:sz w:val="22"/>
          <w:szCs w:val="22"/>
        </w:rPr>
        <w:t>,</w:t>
      </w:r>
      <w:r w:rsidRPr="00FB655B">
        <w:rPr>
          <w:b/>
          <w:color w:val="161617"/>
          <w:sz w:val="22"/>
          <w:szCs w:val="22"/>
        </w:rPr>
        <w:t xml:space="preserve"> unexpired authority from GSA via a SF-1151</w:t>
      </w:r>
      <w:r w:rsidR="00834789">
        <w:rPr>
          <w:b/>
          <w:color w:val="161617"/>
          <w:sz w:val="22"/>
          <w:szCs w:val="22"/>
        </w:rPr>
        <w:t xml:space="preserve">:  </w:t>
      </w:r>
    </w:p>
    <w:p w14:paraId="15B7F0A2" w14:textId="77777777" w:rsidR="000550BA" w:rsidRPr="00FB655B" w:rsidRDefault="000550BA">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rPr>
          <w:color w:val="161617"/>
          <w:sz w:val="22"/>
        </w:rPr>
      </w:pPr>
    </w:p>
    <w:p w14:paraId="4C9734F7" w14:textId="77777777" w:rsidR="000550BA" w:rsidRPr="00FB655B" w:rsidRDefault="000550BA">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ind w:left="990"/>
        <w:rPr>
          <w:color w:val="161617"/>
          <w:sz w:val="22"/>
        </w:rPr>
      </w:pPr>
      <w:r w:rsidRPr="00FB655B">
        <w:rPr>
          <w:color w:val="161617"/>
          <w:sz w:val="22"/>
        </w:rPr>
        <w:t>Each bureau, for its portion of the GSA Federal Buildings Fund, should record the annual Allocation Transfer-In as follows</w:t>
      </w:r>
      <w:r w:rsidR="00F9002F">
        <w:rPr>
          <w:color w:val="161617"/>
          <w:sz w:val="22"/>
        </w:rPr>
        <w:t xml:space="preserve"> (</w:t>
      </w:r>
      <w:r w:rsidR="00F9002F" w:rsidRPr="005B50C8">
        <w:rPr>
          <w:color w:val="161617"/>
          <w:sz w:val="22"/>
        </w:rPr>
        <w:t>A</w:t>
      </w:r>
      <w:r w:rsidR="00AF48EC" w:rsidRPr="005B50C8">
        <w:rPr>
          <w:color w:val="161617"/>
          <w:sz w:val="22"/>
        </w:rPr>
        <w:t>450</w:t>
      </w:r>
      <w:r w:rsidR="00F9002F" w:rsidRPr="005B50C8">
        <w:rPr>
          <w:color w:val="161617"/>
          <w:sz w:val="22"/>
        </w:rPr>
        <w:t>)</w:t>
      </w:r>
      <w:r w:rsidR="00834789">
        <w:rPr>
          <w:color w:val="161617"/>
          <w:sz w:val="22"/>
        </w:rPr>
        <w:t xml:space="preserve">:  </w:t>
      </w:r>
    </w:p>
    <w:p w14:paraId="5FD7D7D2" w14:textId="77777777" w:rsidR="000550BA" w:rsidRPr="00FB655B" w:rsidRDefault="000550BA">
      <w:pPr>
        <w:rPr>
          <w:color w:val="161617"/>
          <w:sz w:val="22"/>
        </w:rPr>
      </w:pPr>
    </w:p>
    <w:p w14:paraId="767F894C" w14:textId="77777777" w:rsidR="000550BA" w:rsidRPr="00FB655B" w:rsidRDefault="000550BA">
      <w:pPr>
        <w:ind w:left="720" w:firstLine="720"/>
        <w:rPr>
          <w:b/>
          <w:color w:val="161617"/>
          <w:sz w:val="22"/>
          <w:szCs w:val="22"/>
        </w:rPr>
      </w:pPr>
      <w:r w:rsidRPr="00FB655B">
        <w:rPr>
          <w:color w:val="161617"/>
          <w:sz w:val="22"/>
          <w:szCs w:val="22"/>
          <w:u w:val="single"/>
        </w:rPr>
        <w:t>USSGL</w:t>
      </w:r>
      <w:r w:rsidR="00B13ACA" w:rsidRPr="00FB655B">
        <w:rPr>
          <w:color w:val="161617"/>
          <w:sz w:val="22"/>
          <w:szCs w:val="22"/>
          <w:u w:val="single"/>
        </w:rPr>
        <w:tab/>
      </w:r>
      <w:r w:rsidRPr="00FB655B">
        <w:rPr>
          <w:color w:val="161617"/>
          <w:sz w:val="22"/>
          <w:szCs w:val="22"/>
        </w:rPr>
        <w:tab/>
      </w:r>
      <w:r w:rsidRPr="00FB655B">
        <w:rPr>
          <w:color w:val="161617"/>
          <w:sz w:val="22"/>
          <w:szCs w:val="22"/>
          <w:u w:val="single"/>
        </w:rPr>
        <w:t>Account Name</w:t>
      </w:r>
      <w:r w:rsidRPr="00FB655B">
        <w:rPr>
          <w:color w:val="161617"/>
          <w:sz w:val="22"/>
          <w:szCs w:val="22"/>
        </w:rPr>
        <w:tab/>
      </w:r>
      <w:r w:rsidRPr="00FB655B">
        <w:rPr>
          <w:color w:val="161617"/>
          <w:sz w:val="22"/>
          <w:szCs w:val="22"/>
        </w:rPr>
        <w:tab/>
      </w:r>
      <w:r w:rsidRPr="00FB655B">
        <w:rPr>
          <w:color w:val="161617"/>
          <w:sz w:val="22"/>
          <w:szCs w:val="22"/>
        </w:rPr>
        <w:tab/>
      </w:r>
      <w:r w:rsidRPr="00FB655B">
        <w:rPr>
          <w:color w:val="161617"/>
          <w:sz w:val="22"/>
          <w:szCs w:val="22"/>
        </w:rPr>
        <w:tab/>
        <w:t xml:space="preserve">            </w:t>
      </w:r>
      <w:r w:rsidRPr="00FB655B">
        <w:rPr>
          <w:color w:val="161617"/>
          <w:sz w:val="22"/>
          <w:szCs w:val="22"/>
          <w:u w:val="single"/>
        </w:rPr>
        <w:t>Debit</w:t>
      </w:r>
      <w:r w:rsidRPr="00FB655B">
        <w:rPr>
          <w:color w:val="161617"/>
          <w:sz w:val="22"/>
          <w:szCs w:val="22"/>
        </w:rPr>
        <w:tab/>
        <w:t xml:space="preserve">         </w:t>
      </w:r>
      <w:r w:rsidRPr="00FB655B">
        <w:rPr>
          <w:color w:val="161617"/>
          <w:sz w:val="22"/>
          <w:szCs w:val="22"/>
          <w:u w:val="single"/>
        </w:rPr>
        <w:t>Credit</w:t>
      </w:r>
    </w:p>
    <w:p w14:paraId="15C32C09" w14:textId="77777777" w:rsidR="001016BF" w:rsidRPr="0033762F" w:rsidRDefault="001016BF" w:rsidP="001016BF">
      <w:pPr>
        <w:ind w:left="720" w:firstLine="720"/>
        <w:rPr>
          <w:color w:val="161617"/>
          <w:sz w:val="22"/>
          <w:szCs w:val="22"/>
        </w:rPr>
      </w:pPr>
    </w:p>
    <w:p w14:paraId="7B7D1FD2" w14:textId="77777777" w:rsidR="000550BA" w:rsidRDefault="000550BA">
      <w:pPr>
        <w:ind w:left="720" w:firstLine="720"/>
        <w:rPr>
          <w:color w:val="161617"/>
          <w:sz w:val="22"/>
          <w:szCs w:val="22"/>
        </w:rPr>
      </w:pPr>
      <w:r w:rsidRPr="00FB655B">
        <w:rPr>
          <w:color w:val="161617"/>
          <w:sz w:val="22"/>
          <w:szCs w:val="22"/>
        </w:rPr>
        <w:t>Budgetary</w:t>
      </w:r>
      <w:r w:rsidR="00834789">
        <w:rPr>
          <w:color w:val="161617"/>
          <w:sz w:val="22"/>
          <w:szCs w:val="22"/>
        </w:rPr>
        <w:t xml:space="preserve">:  </w:t>
      </w:r>
    </w:p>
    <w:p w14:paraId="0A3AB13B" w14:textId="77777777" w:rsidR="001016BF" w:rsidRPr="00FB655B" w:rsidRDefault="001016BF">
      <w:pPr>
        <w:ind w:left="720" w:firstLine="720"/>
        <w:rPr>
          <w:color w:val="161617"/>
          <w:sz w:val="22"/>
          <w:szCs w:val="22"/>
        </w:rPr>
      </w:pPr>
    </w:p>
    <w:p w14:paraId="08ADD451" w14:textId="77777777" w:rsidR="001A1A8D" w:rsidRPr="0033762F" w:rsidRDefault="00DB669F" w:rsidP="00B13ACA">
      <w:pPr>
        <w:tabs>
          <w:tab w:val="left" w:pos="2610"/>
        </w:tabs>
        <w:ind w:left="2160" w:hanging="720"/>
        <w:rPr>
          <w:color w:val="161617"/>
          <w:sz w:val="22"/>
          <w:szCs w:val="22"/>
        </w:rPr>
      </w:pPr>
      <w:r w:rsidRPr="0033762F">
        <w:rPr>
          <w:color w:val="161617"/>
          <w:sz w:val="22"/>
          <w:szCs w:val="22"/>
        </w:rPr>
        <w:lastRenderedPageBreak/>
        <w:t>4175</w:t>
      </w:r>
      <w:r w:rsidR="00531660" w:rsidRPr="0033762F">
        <w:rPr>
          <w:color w:val="161617"/>
          <w:sz w:val="22"/>
          <w:szCs w:val="22"/>
        </w:rPr>
        <w:t>00</w:t>
      </w:r>
      <w:r w:rsidRPr="0033762F">
        <w:rPr>
          <w:color w:val="161617"/>
          <w:sz w:val="22"/>
          <w:szCs w:val="22"/>
        </w:rPr>
        <w:tab/>
      </w:r>
      <w:r w:rsidR="0086609E">
        <w:rPr>
          <w:color w:val="161617"/>
          <w:sz w:val="22"/>
          <w:szCs w:val="22"/>
        </w:rPr>
        <w:t xml:space="preserve"> </w:t>
      </w:r>
      <w:r w:rsidR="000550BA" w:rsidRPr="0033762F">
        <w:rPr>
          <w:color w:val="161617"/>
          <w:sz w:val="22"/>
          <w:szCs w:val="22"/>
        </w:rPr>
        <w:t>Allocation Transfers of Current-Year</w:t>
      </w:r>
      <w:r w:rsidR="000550BA" w:rsidRPr="0033762F">
        <w:rPr>
          <w:color w:val="161617"/>
          <w:sz w:val="22"/>
          <w:szCs w:val="22"/>
        </w:rPr>
        <w:tab/>
      </w:r>
      <w:r w:rsidR="000550BA" w:rsidRPr="0033762F">
        <w:rPr>
          <w:color w:val="161617"/>
          <w:sz w:val="22"/>
          <w:szCs w:val="22"/>
        </w:rPr>
        <w:tab/>
      </w:r>
      <w:r w:rsidR="000550BA" w:rsidRPr="0033762F">
        <w:rPr>
          <w:color w:val="161617"/>
          <w:sz w:val="22"/>
          <w:szCs w:val="22"/>
        </w:rPr>
        <w:tab/>
      </w:r>
      <w:r w:rsidR="00B13ACA" w:rsidRPr="0033762F">
        <w:rPr>
          <w:color w:val="161617"/>
          <w:sz w:val="22"/>
          <w:szCs w:val="22"/>
        </w:rPr>
        <w:tab/>
      </w:r>
      <w:r w:rsidR="00B13ACA" w:rsidRPr="0033762F">
        <w:rPr>
          <w:color w:val="161617"/>
          <w:sz w:val="22"/>
          <w:szCs w:val="22"/>
        </w:rPr>
        <w:tab/>
      </w:r>
      <w:r w:rsidRPr="0033762F">
        <w:rPr>
          <w:color w:val="161617"/>
          <w:sz w:val="22"/>
          <w:szCs w:val="22"/>
        </w:rPr>
        <w:tab/>
      </w:r>
      <w:r w:rsidR="000550BA" w:rsidRPr="0033762F">
        <w:rPr>
          <w:color w:val="161617"/>
          <w:sz w:val="22"/>
          <w:szCs w:val="22"/>
        </w:rPr>
        <w:t>Authority</w:t>
      </w:r>
      <w:r w:rsidR="001A1A8D" w:rsidRPr="0033762F">
        <w:rPr>
          <w:color w:val="161617"/>
          <w:sz w:val="22"/>
          <w:szCs w:val="22"/>
        </w:rPr>
        <w:t xml:space="preserve"> for Non</w:t>
      </w:r>
      <w:r w:rsidR="00701B08">
        <w:rPr>
          <w:color w:val="161617"/>
          <w:sz w:val="22"/>
          <w:szCs w:val="22"/>
        </w:rPr>
        <w:t>-I</w:t>
      </w:r>
      <w:r w:rsidR="001A1A8D" w:rsidRPr="0033762F">
        <w:rPr>
          <w:color w:val="161617"/>
          <w:sz w:val="22"/>
          <w:szCs w:val="22"/>
        </w:rPr>
        <w:t>nvested accounts</w:t>
      </w:r>
      <w:r w:rsidR="001A1A8D" w:rsidRPr="0033762F">
        <w:rPr>
          <w:color w:val="161617"/>
          <w:sz w:val="22"/>
          <w:szCs w:val="22"/>
        </w:rPr>
        <w:tab/>
      </w:r>
      <w:r w:rsidR="006A1D9B" w:rsidRPr="0033762F">
        <w:rPr>
          <w:color w:val="161617"/>
          <w:sz w:val="22"/>
          <w:szCs w:val="22"/>
        </w:rPr>
        <w:tab/>
      </w:r>
      <w:r w:rsidR="00B13ACA" w:rsidRPr="0033762F">
        <w:rPr>
          <w:color w:val="161617"/>
          <w:sz w:val="22"/>
          <w:szCs w:val="22"/>
        </w:rPr>
        <w:t>XX</w:t>
      </w:r>
    </w:p>
    <w:p w14:paraId="0FB6DD87" w14:textId="77777777" w:rsidR="000550BA" w:rsidRPr="0033762F" w:rsidRDefault="00531660" w:rsidP="00531660">
      <w:pPr>
        <w:ind w:left="720" w:firstLine="720"/>
        <w:rPr>
          <w:color w:val="161617"/>
          <w:sz w:val="22"/>
          <w:szCs w:val="22"/>
        </w:rPr>
      </w:pPr>
      <w:r w:rsidRPr="0033762F">
        <w:rPr>
          <w:color w:val="161617"/>
          <w:sz w:val="22"/>
          <w:szCs w:val="22"/>
        </w:rPr>
        <w:t>417600</w:t>
      </w:r>
      <w:r w:rsidR="0086609E">
        <w:rPr>
          <w:color w:val="161617"/>
          <w:sz w:val="22"/>
          <w:szCs w:val="22"/>
        </w:rPr>
        <w:t xml:space="preserve"> </w:t>
      </w:r>
      <w:r w:rsidR="001A1A8D" w:rsidRPr="0033762F">
        <w:rPr>
          <w:color w:val="161617"/>
          <w:sz w:val="22"/>
          <w:szCs w:val="22"/>
        </w:rPr>
        <w:tab/>
        <w:t>Allocation Transfers of Prior Year Balances</w:t>
      </w:r>
      <w:proofErr w:type="gramStart"/>
      <w:r w:rsidR="001A1A8D" w:rsidRPr="0033762F">
        <w:rPr>
          <w:color w:val="161617"/>
          <w:sz w:val="22"/>
          <w:szCs w:val="22"/>
        </w:rPr>
        <w:tab/>
        <w:t xml:space="preserve">  </w:t>
      </w:r>
      <w:r w:rsidR="001A1A8D" w:rsidRPr="0033762F">
        <w:rPr>
          <w:color w:val="161617"/>
          <w:sz w:val="22"/>
          <w:szCs w:val="22"/>
        </w:rPr>
        <w:tab/>
      </w:r>
      <w:proofErr w:type="gramEnd"/>
      <w:r w:rsidR="001A1A8D" w:rsidRPr="0033762F">
        <w:rPr>
          <w:color w:val="161617"/>
          <w:sz w:val="22"/>
          <w:szCs w:val="22"/>
        </w:rPr>
        <w:t>XX</w:t>
      </w:r>
    </w:p>
    <w:p w14:paraId="755D3D0F" w14:textId="77777777" w:rsidR="000550BA" w:rsidRPr="0033762F" w:rsidRDefault="00B13ACA" w:rsidP="001A1A8D">
      <w:pPr>
        <w:ind w:left="720" w:firstLine="720"/>
        <w:rPr>
          <w:color w:val="161617"/>
          <w:sz w:val="22"/>
          <w:szCs w:val="22"/>
        </w:rPr>
      </w:pPr>
      <w:r w:rsidRPr="0033762F">
        <w:rPr>
          <w:color w:val="161617"/>
          <w:sz w:val="22"/>
          <w:szCs w:val="22"/>
        </w:rPr>
        <w:t>4450</w:t>
      </w:r>
      <w:r w:rsidR="00531660" w:rsidRPr="0033762F">
        <w:rPr>
          <w:color w:val="161617"/>
          <w:sz w:val="22"/>
          <w:szCs w:val="22"/>
        </w:rPr>
        <w:t>00</w:t>
      </w:r>
      <w:r w:rsidRPr="0033762F">
        <w:rPr>
          <w:color w:val="161617"/>
          <w:sz w:val="22"/>
          <w:szCs w:val="22"/>
        </w:rPr>
        <w:tab/>
      </w:r>
      <w:r w:rsidR="0086609E">
        <w:rPr>
          <w:color w:val="161617"/>
          <w:sz w:val="22"/>
          <w:szCs w:val="22"/>
        </w:rPr>
        <w:t xml:space="preserve"> </w:t>
      </w:r>
      <w:r w:rsidR="001A1A8D" w:rsidRPr="0033762F">
        <w:rPr>
          <w:color w:val="161617"/>
          <w:sz w:val="22"/>
          <w:szCs w:val="22"/>
        </w:rPr>
        <w:t xml:space="preserve">Unapportioned Authority </w:t>
      </w:r>
      <w:r w:rsidR="000550BA" w:rsidRPr="0033762F">
        <w:rPr>
          <w:color w:val="161617"/>
          <w:sz w:val="22"/>
          <w:szCs w:val="22"/>
        </w:rPr>
        <w:t xml:space="preserve">            </w:t>
      </w:r>
      <w:r w:rsidR="000550BA" w:rsidRPr="0033762F">
        <w:rPr>
          <w:color w:val="161617"/>
          <w:sz w:val="22"/>
          <w:szCs w:val="22"/>
        </w:rPr>
        <w:tab/>
      </w:r>
      <w:r w:rsidR="000550BA" w:rsidRPr="0033762F">
        <w:rPr>
          <w:color w:val="161617"/>
          <w:sz w:val="22"/>
          <w:szCs w:val="22"/>
        </w:rPr>
        <w:tab/>
      </w:r>
      <w:r w:rsidR="000550BA" w:rsidRPr="0033762F">
        <w:rPr>
          <w:color w:val="161617"/>
          <w:sz w:val="22"/>
          <w:szCs w:val="22"/>
        </w:rPr>
        <w:tab/>
      </w:r>
      <w:r w:rsidR="000550BA" w:rsidRPr="0033762F">
        <w:rPr>
          <w:color w:val="161617"/>
          <w:sz w:val="22"/>
          <w:szCs w:val="22"/>
        </w:rPr>
        <w:tab/>
      </w:r>
      <w:r w:rsidR="000550BA" w:rsidRPr="0033762F">
        <w:rPr>
          <w:color w:val="161617"/>
          <w:sz w:val="22"/>
          <w:szCs w:val="22"/>
        </w:rPr>
        <w:tab/>
        <w:t>XX</w:t>
      </w:r>
    </w:p>
    <w:p w14:paraId="14FC716C" w14:textId="77777777" w:rsidR="001A1A8D" w:rsidRPr="0033762F" w:rsidRDefault="001A1A8D" w:rsidP="001A1A8D">
      <w:pPr>
        <w:ind w:left="720" w:firstLine="720"/>
        <w:rPr>
          <w:color w:val="161617"/>
          <w:sz w:val="22"/>
          <w:szCs w:val="22"/>
        </w:rPr>
      </w:pPr>
      <w:r w:rsidRPr="0033762F">
        <w:rPr>
          <w:color w:val="161617"/>
          <w:sz w:val="22"/>
          <w:szCs w:val="22"/>
        </w:rPr>
        <w:t>4620</w:t>
      </w:r>
      <w:r w:rsidR="00531660" w:rsidRPr="0033762F">
        <w:rPr>
          <w:color w:val="161617"/>
          <w:sz w:val="22"/>
          <w:szCs w:val="22"/>
        </w:rPr>
        <w:t>00</w:t>
      </w:r>
      <w:r w:rsidRPr="0033762F">
        <w:rPr>
          <w:color w:val="161617"/>
          <w:sz w:val="22"/>
          <w:szCs w:val="22"/>
        </w:rPr>
        <w:t xml:space="preserve"> </w:t>
      </w:r>
      <w:r w:rsidRPr="0033762F">
        <w:rPr>
          <w:color w:val="161617"/>
          <w:sz w:val="22"/>
          <w:szCs w:val="22"/>
        </w:rPr>
        <w:tab/>
        <w:t xml:space="preserve">Unobligated Funds Exempt </w:t>
      </w:r>
      <w:proofErr w:type="gramStart"/>
      <w:r w:rsidRPr="0033762F">
        <w:rPr>
          <w:color w:val="161617"/>
          <w:sz w:val="22"/>
          <w:szCs w:val="22"/>
        </w:rPr>
        <w:t>From</w:t>
      </w:r>
      <w:proofErr w:type="gramEnd"/>
      <w:r w:rsidRPr="0033762F">
        <w:rPr>
          <w:color w:val="161617"/>
          <w:sz w:val="22"/>
          <w:szCs w:val="22"/>
        </w:rPr>
        <w:t xml:space="preserve"> Apportionment </w:t>
      </w:r>
      <w:r w:rsidRPr="0033762F">
        <w:rPr>
          <w:color w:val="161617"/>
          <w:sz w:val="22"/>
          <w:szCs w:val="22"/>
        </w:rPr>
        <w:tab/>
      </w:r>
      <w:r w:rsidRPr="0033762F">
        <w:rPr>
          <w:color w:val="161617"/>
          <w:sz w:val="22"/>
          <w:szCs w:val="22"/>
        </w:rPr>
        <w:tab/>
      </w:r>
      <w:r w:rsidRPr="0033762F">
        <w:rPr>
          <w:color w:val="161617"/>
          <w:sz w:val="22"/>
          <w:szCs w:val="22"/>
        </w:rPr>
        <w:tab/>
        <w:t>XX</w:t>
      </w:r>
    </w:p>
    <w:p w14:paraId="3397F136" w14:textId="77777777" w:rsidR="001A1A8D" w:rsidRPr="0033762F" w:rsidRDefault="001A1A8D" w:rsidP="001A1A8D">
      <w:pPr>
        <w:ind w:left="1440"/>
        <w:rPr>
          <w:color w:val="161617"/>
          <w:sz w:val="22"/>
          <w:szCs w:val="22"/>
        </w:rPr>
      </w:pPr>
    </w:p>
    <w:p w14:paraId="670D6833" w14:textId="77777777" w:rsidR="000550BA" w:rsidRDefault="000550BA">
      <w:pPr>
        <w:ind w:left="720" w:firstLine="720"/>
        <w:rPr>
          <w:color w:val="161617"/>
          <w:sz w:val="22"/>
          <w:szCs w:val="22"/>
        </w:rPr>
      </w:pPr>
      <w:r w:rsidRPr="0033762F">
        <w:rPr>
          <w:color w:val="161617"/>
          <w:sz w:val="22"/>
          <w:szCs w:val="22"/>
        </w:rPr>
        <w:t>Proprietary</w:t>
      </w:r>
      <w:r w:rsidR="00834789">
        <w:rPr>
          <w:color w:val="161617"/>
          <w:sz w:val="22"/>
          <w:szCs w:val="22"/>
        </w:rPr>
        <w:t xml:space="preserve">:  </w:t>
      </w:r>
    </w:p>
    <w:p w14:paraId="08636697" w14:textId="77777777" w:rsidR="001016BF" w:rsidRPr="0033762F" w:rsidRDefault="001016BF">
      <w:pPr>
        <w:ind w:left="720" w:firstLine="720"/>
        <w:rPr>
          <w:color w:val="161617"/>
          <w:sz w:val="22"/>
          <w:szCs w:val="22"/>
        </w:rPr>
      </w:pPr>
    </w:p>
    <w:p w14:paraId="68635E35" w14:textId="77777777" w:rsidR="00AF48EC" w:rsidRPr="005B50C8" w:rsidRDefault="00531660" w:rsidP="00535B9B">
      <w:pPr>
        <w:ind w:left="720" w:firstLine="720"/>
        <w:rPr>
          <w:bCs/>
          <w:color w:val="161617"/>
          <w:sz w:val="22"/>
          <w:szCs w:val="22"/>
        </w:rPr>
      </w:pPr>
      <w:r w:rsidRPr="0033762F">
        <w:rPr>
          <w:bCs/>
          <w:color w:val="161617"/>
          <w:sz w:val="22"/>
          <w:szCs w:val="22"/>
        </w:rPr>
        <w:t>101000</w:t>
      </w:r>
      <w:r w:rsidR="0086609E">
        <w:rPr>
          <w:bCs/>
          <w:color w:val="161617"/>
          <w:sz w:val="22"/>
          <w:szCs w:val="22"/>
        </w:rPr>
        <w:t xml:space="preserve"> </w:t>
      </w:r>
      <w:r w:rsidRPr="0033762F">
        <w:rPr>
          <w:bCs/>
          <w:color w:val="161617"/>
          <w:sz w:val="22"/>
          <w:szCs w:val="22"/>
        </w:rPr>
        <w:tab/>
      </w:r>
      <w:r w:rsidR="000550BA" w:rsidRPr="0033762F">
        <w:rPr>
          <w:bCs/>
          <w:color w:val="161617"/>
          <w:sz w:val="22"/>
          <w:szCs w:val="22"/>
        </w:rPr>
        <w:t>Fund Balance with Treasury</w:t>
      </w:r>
      <w:r w:rsidR="000550BA" w:rsidRPr="0033762F">
        <w:rPr>
          <w:bCs/>
          <w:color w:val="161617"/>
          <w:sz w:val="22"/>
          <w:szCs w:val="22"/>
        </w:rPr>
        <w:tab/>
      </w:r>
      <w:r w:rsidR="000550BA" w:rsidRPr="0033762F">
        <w:rPr>
          <w:bCs/>
          <w:color w:val="161617"/>
          <w:sz w:val="22"/>
          <w:szCs w:val="22"/>
        </w:rPr>
        <w:tab/>
      </w:r>
      <w:r w:rsidR="00B13ACA" w:rsidRPr="0033762F">
        <w:rPr>
          <w:bCs/>
          <w:color w:val="161617"/>
          <w:sz w:val="22"/>
          <w:szCs w:val="22"/>
        </w:rPr>
        <w:tab/>
      </w:r>
      <w:r w:rsidR="00B13ACA" w:rsidRPr="0033762F">
        <w:rPr>
          <w:bCs/>
          <w:color w:val="161617"/>
          <w:sz w:val="22"/>
          <w:szCs w:val="22"/>
        </w:rPr>
        <w:tab/>
      </w:r>
      <w:r w:rsidR="000550BA" w:rsidRPr="0033762F">
        <w:rPr>
          <w:bCs/>
          <w:color w:val="161617"/>
          <w:sz w:val="22"/>
          <w:szCs w:val="22"/>
        </w:rPr>
        <w:t>XX</w:t>
      </w:r>
      <w:r w:rsidR="00B13ACA" w:rsidRPr="005B50C8">
        <w:rPr>
          <w:bCs/>
          <w:color w:val="161617"/>
          <w:sz w:val="22"/>
          <w:szCs w:val="22"/>
        </w:rPr>
        <w:tab/>
      </w:r>
    </w:p>
    <w:p w14:paraId="47220FAA" w14:textId="77777777" w:rsidR="00701B08" w:rsidRDefault="00AF48EC" w:rsidP="00B13ACA">
      <w:pPr>
        <w:tabs>
          <w:tab w:val="left" w:pos="2160"/>
        </w:tabs>
        <w:ind w:left="720" w:firstLine="720"/>
        <w:rPr>
          <w:bCs/>
          <w:color w:val="161617"/>
          <w:sz w:val="22"/>
          <w:szCs w:val="22"/>
        </w:rPr>
      </w:pPr>
      <w:r w:rsidRPr="005B50C8">
        <w:rPr>
          <w:bCs/>
          <w:color w:val="161617"/>
          <w:sz w:val="22"/>
          <w:szCs w:val="22"/>
        </w:rPr>
        <w:t>575500</w:t>
      </w:r>
      <w:r w:rsidR="0086609E">
        <w:rPr>
          <w:bCs/>
          <w:color w:val="161617"/>
          <w:sz w:val="22"/>
          <w:szCs w:val="22"/>
        </w:rPr>
        <w:t xml:space="preserve"> </w:t>
      </w:r>
      <w:r w:rsidRPr="005B50C8">
        <w:rPr>
          <w:bCs/>
          <w:color w:val="161617"/>
          <w:sz w:val="22"/>
          <w:szCs w:val="22"/>
        </w:rPr>
        <w:t>Non</w:t>
      </w:r>
      <w:r w:rsidR="00701B08">
        <w:rPr>
          <w:bCs/>
          <w:color w:val="161617"/>
          <w:sz w:val="22"/>
          <w:szCs w:val="22"/>
        </w:rPr>
        <w:t>-E</w:t>
      </w:r>
      <w:r w:rsidRPr="005B50C8">
        <w:rPr>
          <w:bCs/>
          <w:color w:val="161617"/>
          <w:sz w:val="22"/>
          <w:szCs w:val="22"/>
        </w:rPr>
        <w:t xml:space="preserve">xpenditure Financing </w:t>
      </w:r>
    </w:p>
    <w:p w14:paraId="00BFC2A1" w14:textId="77777777" w:rsidR="000550BA" w:rsidRDefault="00AF48EC" w:rsidP="00701B08">
      <w:pPr>
        <w:tabs>
          <w:tab w:val="left" w:pos="2520"/>
        </w:tabs>
        <w:ind w:left="2520" w:firstLine="180"/>
        <w:rPr>
          <w:bCs/>
          <w:color w:val="161617"/>
          <w:sz w:val="22"/>
          <w:szCs w:val="22"/>
        </w:rPr>
      </w:pPr>
      <w:r w:rsidRPr="005B50C8">
        <w:rPr>
          <w:bCs/>
          <w:color w:val="161617"/>
          <w:sz w:val="22"/>
          <w:szCs w:val="22"/>
        </w:rPr>
        <w:t>Sources – Transfers-in</w:t>
      </w:r>
      <w:r w:rsidR="0027056E" w:rsidRPr="005B50C8">
        <w:rPr>
          <w:bCs/>
          <w:color w:val="161617"/>
          <w:sz w:val="22"/>
          <w:szCs w:val="22"/>
        </w:rPr>
        <w:t xml:space="preserve"> -</w:t>
      </w:r>
      <w:r w:rsidRPr="005B50C8">
        <w:rPr>
          <w:bCs/>
          <w:color w:val="161617"/>
          <w:sz w:val="22"/>
          <w:szCs w:val="22"/>
        </w:rPr>
        <w:t xml:space="preserve"> Other</w:t>
      </w:r>
      <w:r w:rsidR="009711E5">
        <w:rPr>
          <w:bCs/>
          <w:color w:val="161617"/>
          <w:sz w:val="22"/>
          <w:szCs w:val="22"/>
        </w:rPr>
        <w:tab/>
      </w:r>
      <w:r w:rsidR="009711E5">
        <w:rPr>
          <w:bCs/>
          <w:color w:val="161617"/>
          <w:sz w:val="22"/>
          <w:szCs w:val="22"/>
        </w:rPr>
        <w:tab/>
      </w:r>
      <w:r w:rsidR="00701B08">
        <w:rPr>
          <w:bCs/>
          <w:color w:val="161617"/>
          <w:sz w:val="22"/>
          <w:szCs w:val="22"/>
        </w:rPr>
        <w:tab/>
      </w:r>
      <w:r w:rsidR="00701B08">
        <w:rPr>
          <w:bCs/>
          <w:color w:val="161617"/>
          <w:sz w:val="22"/>
          <w:szCs w:val="22"/>
        </w:rPr>
        <w:tab/>
      </w:r>
      <w:r w:rsidR="00701B08">
        <w:rPr>
          <w:bCs/>
          <w:color w:val="161617"/>
          <w:sz w:val="22"/>
          <w:szCs w:val="22"/>
        </w:rPr>
        <w:tab/>
      </w:r>
      <w:r w:rsidR="000550BA" w:rsidRPr="00FB655B">
        <w:rPr>
          <w:bCs/>
          <w:color w:val="161617"/>
          <w:sz w:val="22"/>
          <w:szCs w:val="22"/>
        </w:rPr>
        <w:t>XX</w:t>
      </w:r>
    </w:p>
    <w:p w14:paraId="579A541B" w14:textId="77777777" w:rsidR="001016BF" w:rsidRPr="00FB655B" w:rsidRDefault="001016BF" w:rsidP="00B13ACA">
      <w:pPr>
        <w:tabs>
          <w:tab w:val="left" w:pos="2160"/>
        </w:tabs>
        <w:ind w:left="720" w:firstLine="720"/>
        <w:rPr>
          <w:b/>
          <w:color w:val="161617"/>
          <w:sz w:val="22"/>
          <w:szCs w:val="22"/>
        </w:rPr>
      </w:pPr>
    </w:p>
    <w:p w14:paraId="569983CC" w14:textId="77777777" w:rsidR="001016BF" w:rsidRPr="0033762F" w:rsidRDefault="001016BF" w:rsidP="001016BF">
      <w:pPr>
        <w:ind w:left="720" w:firstLine="720"/>
        <w:rPr>
          <w:color w:val="161617"/>
          <w:sz w:val="22"/>
          <w:szCs w:val="22"/>
        </w:rPr>
      </w:pPr>
    </w:p>
    <w:p w14:paraId="5A62154E" w14:textId="77777777" w:rsidR="000550BA" w:rsidRPr="00FB655B" w:rsidRDefault="000550BA" w:rsidP="00984CFD">
      <w:pPr>
        <w:tabs>
          <w:tab w:val="left" w:pos="720"/>
        </w:tabs>
        <w:ind w:left="990" w:hanging="990"/>
        <w:outlineLvl w:val="0"/>
        <w:rPr>
          <w:b/>
          <w:color w:val="161617"/>
          <w:sz w:val="22"/>
        </w:rPr>
      </w:pPr>
      <w:r w:rsidRPr="00FB655B">
        <w:rPr>
          <w:b/>
          <w:color w:val="161617"/>
          <w:sz w:val="22"/>
        </w:rPr>
        <w:tab/>
        <w:t xml:space="preserve">b. To record the allotment of funds from </w:t>
      </w:r>
      <w:r w:rsidRPr="005B50C8">
        <w:rPr>
          <w:b/>
          <w:color w:val="161617"/>
          <w:sz w:val="22"/>
        </w:rPr>
        <w:t xml:space="preserve">the </w:t>
      </w:r>
      <w:r w:rsidR="00984CFD" w:rsidRPr="005B50C8">
        <w:rPr>
          <w:b/>
          <w:color w:val="161617"/>
          <w:sz w:val="22"/>
        </w:rPr>
        <w:t>Office of the</w:t>
      </w:r>
      <w:r w:rsidR="00D955F6" w:rsidRPr="005B50C8">
        <w:rPr>
          <w:b/>
          <w:color w:val="161617"/>
          <w:sz w:val="22"/>
        </w:rPr>
        <w:t xml:space="preserve"> Secretary Financial Management</w:t>
      </w:r>
      <w:r w:rsidR="002A07B7" w:rsidRPr="005B50C8">
        <w:rPr>
          <w:b/>
          <w:color w:val="161617"/>
          <w:sz w:val="22"/>
        </w:rPr>
        <w:t>, Budget Formulation and Analysis Division</w:t>
      </w:r>
      <w:r w:rsidR="00834789">
        <w:rPr>
          <w:b/>
          <w:color w:val="161617"/>
          <w:sz w:val="22"/>
        </w:rPr>
        <w:t xml:space="preserve">:  </w:t>
      </w:r>
    </w:p>
    <w:p w14:paraId="7FD83643" w14:textId="77777777" w:rsidR="000550BA" w:rsidRPr="00FB655B" w:rsidRDefault="000550BA">
      <w:pPr>
        <w:tabs>
          <w:tab w:val="left" w:pos="-1080"/>
          <w:tab w:val="left" w:pos="-720"/>
          <w:tab w:val="left" w:pos="0"/>
          <w:tab w:val="left" w:pos="540"/>
          <w:tab w:val="left" w:pos="720"/>
          <w:tab w:val="left" w:pos="990"/>
          <w:tab w:val="left" w:pos="1440"/>
          <w:tab w:val="left" w:pos="1890"/>
          <w:tab w:val="left" w:pos="2520"/>
          <w:tab w:val="left" w:pos="3240"/>
          <w:tab w:val="left" w:pos="3960"/>
          <w:tab w:val="left" w:pos="4680"/>
          <w:tab w:val="left" w:pos="8640"/>
          <w:tab w:val="left" w:pos="9360"/>
        </w:tabs>
        <w:spacing w:line="232" w:lineRule="auto"/>
        <w:rPr>
          <w:b/>
          <w:color w:val="161617"/>
          <w:sz w:val="22"/>
        </w:rPr>
      </w:pPr>
    </w:p>
    <w:p w14:paraId="24A69BE2" w14:textId="77777777" w:rsidR="000550BA" w:rsidRPr="00FB655B" w:rsidRDefault="000550BA">
      <w:pPr>
        <w:pStyle w:val="BodyTextIndent2"/>
        <w:tabs>
          <w:tab w:val="clear" w:pos="1080"/>
          <w:tab w:val="left" w:pos="990"/>
        </w:tabs>
        <w:ind w:left="990"/>
        <w:rPr>
          <w:color w:val="161617"/>
        </w:rPr>
      </w:pPr>
      <w:r w:rsidRPr="00FB655B">
        <w:rPr>
          <w:color w:val="161617"/>
        </w:rPr>
        <w:t>Each bureau, for its portion of the GSA Federal Buildings Fund, should record the allotment as follows</w:t>
      </w:r>
      <w:r w:rsidR="00F9002F">
        <w:rPr>
          <w:color w:val="161617"/>
        </w:rPr>
        <w:t xml:space="preserve"> (</w:t>
      </w:r>
      <w:r w:rsidR="00AF48EC" w:rsidRPr="005B50C8">
        <w:rPr>
          <w:color w:val="161617"/>
        </w:rPr>
        <w:t>A116</w:t>
      </w:r>
      <w:r w:rsidR="00AF48EC">
        <w:rPr>
          <w:color w:val="161617"/>
        </w:rPr>
        <w:t xml:space="preserve">, </w:t>
      </w:r>
      <w:r w:rsidR="00F9002F">
        <w:rPr>
          <w:color w:val="161617"/>
        </w:rPr>
        <w:t>A120)</w:t>
      </w:r>
      <w:r w:rsidR="00834789">
        <w:rPr>
          <w:color w:val="161617"/>
        </w:rPr>
        <w:t xml:space="preserve">:  </w:t>
      </w:r>
    </w:p>
    <w:p w14:paraId="26B6E42D" w14:textId="77777777" w:rsidR="001016BF" w:rsidRPr="0033762F" w:rsidRDefault="001016BF" w:rsidP="001016BF">
      <w:pPr>
        <w:ind w:left="720" w:firstLine="720"/>
        <w:rPr>
          <w:color w:val="161617"/>
          <w:sz w:val="22"/>
          <w:szCs w:val="22"/>
        </w:rPr>
      </w:pPr>
    </w:p>
    <w:p w14:paraId="515C593B" w14:textId="77777777" w:rsidR="00B13ACA" w:rsidRPr="00B13ACA" w:rsidRDefault="00B13ACA" w:rsidP="00B13ACA">
      <w:pPr>
        <w:ind w:left="720" w:firstLine="720"/>
        <w:rPr>
          <w:b/>
          <w:color w:val="161617"/>
          <w:sz w:val="22"/>
          <w:szCs w:val="22"/>
        </w:rPr>
      </w:pPr>
      <w:r w:rsidRPr="00B13ACA">
        <w:rPr>
          <w:color w:val="161617"/>
          <w:sz w:val="22"/>
          <w:szCs w:val="22"/>
          <w:u w:val="single"/>
        </w:rPr>
        <w:t>USSGL</w:t>
      </w:r>
      <w:r>
        <w:rPr>
          <w:color w:val="161617"/>
          <w:sz w:val="22"/>
          <w:szCs w:val="22"/>
          <w:u w:val="single"/>
        </w:rPr>
        <w:tab/>
      </w:r>
      <w:r w:rsidRPr="00B13ACA">
        <w:rPr>
          <w:color w:val="161617"/>
          <w:sz w:val="22"/>
          <w:szCs w:val="22"/>
        </w:rPr>
        <w:tab/>
      </w:r>
      <w:r w:rsidRPr="00B13ACA">
        <w:rPr>
          <w:color w:val="161617"/>
          <w:sz w:val="22"/>
          <w:szCs w:val="22"/>
          <w:u w:val="single"/>
        </w:rPr>
        <w:t>Account Name</w:t>
      </w:r>
      <w:r w:rsidRPr="00B13ACA">
        <w:rPr>
          <w:color w:val="161617"/>
          <w:sz w:val="22"/>
          <w:szCs w:val="22"/>
        </w:rPr>
        <w:tab/>
      </w:r>
      <w:r w:rsidRPr="00B13ACA">
        <w:rPr>
          <w:color w:val="161617"/>
          <w:sz w:val="22"/>
          <w:szCs w:val="22"/>
        </w:rPr>
        <w:tab/>
      </w:r>
      <w:r w:rsidRPr="00B13ACA">
        <w:rPr>
          <w:color w:val="161617"/>
          <w:sz w:val="22"/>
          <w:szCs w:val="22"/>
        </w:rPr>
        <w:tab/>
      </w:r>
      <w:r w:rsidRPr="00B13ACA">
        <w:rPr>
          <w:color w:val="161617"/>
          <w:sz w:val="22"/>
          <w:szCs w:val="22"/>
        </w:rPr>
        <w:tab/>
        <w:t xml:space="preserve">            </w:t>
      </w:r>
      <w:r w:rsidRPr="00B13ACA">
        <w:rPr>
          <w:color w:val="161617"/>
          <w:sz w:val="22"/>
          <w:szCs w:val="22"/>
          <w:u w:val="single"/>
        </w:rPr>
        <w:t>Debit</w:t>
      </w:r>
      <w:r w:rsidRPr="00B13ACA">
        <w:rPr>
          <w:color w:val="161617"/>
          <w:sz w:val="22"/>
          <w:szCs w:val="22"/>
        </w:rPr>
        <w:tab/>
        <w:t xml:space="preserve">         </w:t>
      </w:r>
      <w:r w:rsidRPr="00B13ACA">
        <w:rPr>
          <w:color w:val="161617"/>
          <w:sz w:val="22"/>
          <w:szCs w:val="22"/>
          <w:u w:val="single"/>
        </w:rPr>
        <w:t>Credit</w:t>
      </w:r>
    </w:p>
    <w:p w14:paraId="5ED7FFD4" w14:textId="77777777" w:rsidR="001016BF" w:rsidRPr="0033762F" w:rsidRDefault="001016BF" w:rsidP="001016BF">
      <w:pPr>
        <w:ind w:left="720" w:firstLine="720"/>
        <w:rPr>
          <w:color w:val="161617"/>
          <w:sz w:val="22"/>
          <w:szCs w:val="22"/>
        </w:rPr>
      </w:pPr>
    </w:p>
    <w:p w14:paraId="1F7E483A" w14:textId="77777777" w:rsidR="000550BA" w:rsidRPr="00FB655B" w:rsidRDefault="000550BA">
      <w:pPr>
        <w:ind w:left="720" w:firstLine="720"/>
        <w:rPr>
          <w:color w:val="161617"/>
          <w:sz w:val="22"/>
        </w:rPr>
      </w:pPr>
      <w:r w:rsidRPr="00FB655B">
        <w:rPr>
          <w:color w:val="161617"/>
          <w:sz w:val="22"/>
        </w:rPr>
        <w:t>Budgetary</w:t>
      </w:r>
      <w:r w:rsidR="00834789">
        <w:rPr>
          <w:color w:val="161617"/>
          <w:sz w:val="22"/>
        </w:rPr>
        <w:t xml:space="preserve">:  </w:t>
      </w:r>
    </w:p>
    <w:p w14:paraId="4AA5953D" w14:textId="77777777" w:rsidR="001016BF" w:rsidRPr="0033762F" w:rsidRDefault="001016BF" w:rsidP="001016BF">
      <w:pPr>
        <w:ind w:left="720" w:firstLine="720"/>
        <w:rPr>
          <w:color w:val="161617"/>
          <w:sz w:val="22"/>
          <w:szCs w:val="22"/>
        </w:rPr>
      </w:pPr>
    </w:p>
    <w:p w14:paraId="4D5B1987" w14:textId="77777777" w:rsidR="000550BA" w:rsidRPr="00092214" w:rsidRDefault="00AF48EC">
      <w:pPr>
        <w:ind w:left="720" w:firstLine="720"/>
        <w:rPr>
          <w:color w:val="161617"/>
          <w:sz w:val="22"/>
        </w:rPr>
      </w:pPr>
      <w:r w:rsidRPr="005B50C8">
        <w:rPr>
          <w:color w:val="161617"/>
          <w:sz w:val="22"/>
        </w:rPr>
        <w:t>445000 Unapportioned Authority</w:t>
      </w:r>
      <w:r w:rsidR="000550BA" w:rsidRPr="00092214">
        <w:rPr>
          <w:color w:val="161617"/>
          <w:sz w:val="22"/>
        </w:rPr>
        <w:tab/>
      </w:r>
      <w:r w:rsidR="000550BA" w:rsidRPr="00092214">
        <w:rPr>
          <w:color w:val="161617"/>
          <w:sz w:val="22"/>
        </w:rPr>
        <w:tab/>
      </w:r>
      <w:r w:rsidR="000550BA" w:rsidRPr="00092214">
        <w:rPr>
          <w:color w:val="161617"/>
          <w:sz w:val="22"/>
        </w:rPr>
        <w:tab/>
      </w:r>
      <w:r w:rsidR="00B13ACA" w:rsidRPr="00092214">
        <w:rPr>
          <w:color w:val="161617"/>
          <w:sz w:val="22"/>
        </w:rPr>
        <w:tab/>
      </w:r>
      <w:r w:rsidR="000550BA" w:rsidRPr="00092214">
        <w:rPr>
          <w:color w:val="161617"/>
          <w:sz w:val="22"/>
        </w:rPr>
        <w:t>XX</w:t>
      </w:r>
    </w:p>
    <w:p w14:paraId="3AEF3E1D" w14:textId="77777777" w:rsidR="000550BA" w:rsidRPr="00FB655B" w:rsidRDefault="000550BA">
      <w:pPr>
        <w:ind w:left="720" w:firstLine="720"/>
        <w:rPr>
          <w:color w:val="161617"/>
          <w:sz w:val="22"/>
        </w:rPr>
      </w:pPr>
      <w:r w:rsidRPr="00092214">
        <w:rPr>
          <w:color w:val="161617"/>
          <w:sz w:val="22"/>
        </w:rPr>
        <w:t>4610</w:t>
      </w:r>
      <w:r w:rsidR="00531660" w:rsidRPr="00092214">
        <w:rPr>
          <w:color w:val="161617"/>
          <w:sz w:val="22"/>
        </w:rPr>
        <w:t>00</w:t>
      </w:r>
      <w:r w:rsidR="0086609E">
        <w:rPr>
          <w:color w:val="161617"/>
          <w:sz w:val="22"/>
        </w:rPr>
        <w:t xml:space="preserve"> </w:t>
      </w:r>
      <w:r w:rsidRPr="00FB655B">
        <w:rPr>
          <w:color w:val="161617"/>
          <w:sz w:val="22"/>
        </w:rPr>
        <w:tab/>
        <w:t>Allotments-Realized Resources</w:t>
      </w:r>
      <w:r w:rsidRPr="00FB655B">
        <w:rPr>
          <w:color w:val="161617"/>
          <w:sz w:val="22"/>
        </w:rPr>
        <w:tab/>
      </w:r>
      <w:r w:rsidRPr="00FB655B">
        <w:rPr>
          <w:color w:val="161617"/>
          <w:sz w:val="22"/>
        </w:rPr>
        <w:tab/>
      </w:r>
      <w:r w:rsidRPr="00FB655B">
        <w:rPr>
          <w:color w:val="161617"/>
          <w:sz w:val="22"/>
        </w:rPr>
        <w:tab/>
      </w:r>
      <w:r w:rsidR="00B13ACA" w:rsidRPr="00FB655B">
        <w:rPr>
          <w:color w:val="161617"/>
          <w:sz w:val="22"/>
        </w:rPr>
        <w:tab/>
      </w:r>
      <w:r w:rsidRPr="00FB655B">
        <w:rPr>
          <w:color w:val="161617"/>
          <w:sz w:val="22"/>
        </w:rPr>
        <w:tab/>
      </w:r>
      <w:r w:rsidRPr="00FB655B">
        <w:rPr>
          <w:color w:val="161617"/>
          <w:sz w:val="22"/>
        </w:rPr>
        <w:tab/>
        <w:t>XX</w:t>
      </w:r>
    </w:p>
    <w:p w14:paraId="072EB1DC" w14:textId="77777777" w:rsidR="001016BF" w:rsidRPr="0033762F" w:rsidRDefault="001016BF" w:rsidP="001016BF">
      <w:pPr>
        <w:ind w:left="720" w:firstLine="720"/>
        <w:rPr>
          <w:color w:val="161617"/>
          <w:sz w:val="22"/>
          <w:szCs w:val="22"/>
        </w:rPr>
      </w:pPr>
    </w:p>
    <w:p w14:paraId="2569F7CD" w14:textId="77777777" w:rsidR="001016BF" w:rsidRPr="0033762F" w:rsidRDefault="001016BF" w:rsidP="001016BF">
      <w:pPr>
        <w:ind w:left="720" w:firstLine="720"/>
        <w:rPr>
          <w:color w:val="161617"/>
          <w:sz w:val="22"/>
          <w:szCs w:val="22"/>
        </w:rPr>
      </w:pPr>
    </w:p>
    <w:p w14:paraId="6D5433C2" w14:textId="77777777" w:rsidR="000550BA" w:rsidRPr="00FB655B" w:rsidRDefault="000550BA" w:rsidP="00B13ACA">
      <w:pPr>
        <w:ind w:left="720" w:firstLine="720"/>
        <w:rPr>
          <w:color w:val="161617"/>
          <w:sz w:val="22"/>
        </w:rPr>
      </w:pPr>
      <w:r w:rsidRPr="00FB655B">
        <w:rPr>
          <w:color w:val="161617"/>
          <w:sz w:val="22"/>
        </w:rPr>
        <w:t>Proprietary</w:t>
      </w:r>
      <w:r w:rsidR="00F403D8">
        <w:rPr>
          <w:color w:val="161617"/>
          <w:sz w:val="22"/>
        </w:rPr>
        <w:t xml:space="preserve">: </w:t>
      </w:r>
      <w:r w:rsidR="001A2227" w:rsidRPr="00FB655B">
        <w:rPr>
          <w:color w:val="161617"/>
          <w:sz w:val="22"/>
        </w:rPr>
        <w:t>(</w:t>
      </w:r>
      <w:r w:rsidRPr="00FB655B">
        <w:rPr>
          <w:color w:val="161617"/>
          <w:sz w:val="22"/>
        </w:rPr>
        <w:t>No entries</w:t>
      </w:r>
      <w:r w:rsidR="00B13ACA" w:rsidRPr="00FB655B">
        <w:rPr>
          <w:color w:val="161617"/>
          <w:sz w:val="22"/>
        </w:rPr>
        <w:t>)</w:t>
      </w:r>
    </w:p>
    <w:p w14:paraId="525293D5" w14:textId="77777777" w:rsidR="001016BF" w:rsidRPr="0033762F" w:rsidRDefault="001016BF" w:rsidP="001016BF">
      <w:pPr>
        <w:ind w:left="720" w:firstLine="720"/>
        <w:rPr>
          <w:color w:val="161617"/>
          <w:sz w:val="22"/>
          <w:szCs w:val="22"/>
        </w:rPr>
      </w:pPr>
    </w:p>
    <w:p w14:paraId="44FE440C" w14:textId="77777777" w:rsidR="001016BF" w:rsidRPr="0033762F" w:rsidRDefault="001016BF" w:rsidP="001016BF">
      <w:pPr>
        <w:ind w:left="720" w:firstLine="720"/>
        <w:rPr>
          <w:color w:val="161617"/>
          <w:sz w:val="22"/>
          <w:szCs w:val="22"/>
        </w:rPr>
      </w:pPr>
    </w:p>
    <w:p w14:paraId="698548E3" w14:textId="77777777" w:rsidR="000550BA" w:rsidRPr="00FB655B" w:rsidRDefault="000550BA">
      <w:pPr>
        <w:tabs>
          <w:tab w:val="left" w:pos="-1080"/>
          <w:tab w:val="left" w:pos="-720"/>
          <w:tab w:val="left" w:pos="0"/>
          <w:tab w:val="left" w:pos="540"/>
          <w:tab w:val="left" w:pos="1440"/>
          <w:tab w:val="left" w:pos="1890"/>
          <w:tab w:val="left" w:pos="2520"/>
          <w:tab w:val="left" w:pos="3240"/>
          <w:tab w:val="left" w:pos="3960"/>
          <w:tab w:val="left" w:pos="4680"/>
          <w:tab w:val="left" w:pos="8640"/>
          <w:tab w:val="left" w:pos="9360"/>
        </w:tabs>
        <w:spacing w:line="232" w:lineRule="auto"/>
        <w:ind w:firstLine="720"/>
        <w:rPr>
          <w:b/>
          <w:color w:val="161617"/>
          <w:sz w:val="22"/>
        </w:rPr>
      </w:pPr>
      <w:r w:rsidRPr="00FB655B">
        <w:rPr>
          <w:b/>
          <w:color w:val="161617"/>
          <w:sz w:val="22"/>
        </w:rPr>
        <w:t>c. To record all other transactions</w:t>
      </w:r>
    </w:p>
    <w:p w14:paraId="394A2613" w14:textId="77777777" w:rsidR="001016BF" w:rsidRPr="0033762F" w:rsidRDefault="001016BF" w:rsidP="001016BF">
      <w:pPr>
        <w:ind w:left="720" w:firstLine="720"/>
        <w:rPr>
          <w:color w:val="161617"/>
          <w:sz w:val="22"/>
          <w:szCs w:val="22"/>
        </w:rPr>
      </w:pPr>
    </w:p>
    <w:p w14:paraId="6CA3792C" w14:textId="77777777" w:rsidR="000550BA" w:rsidRPr="00FB655B" w:rsidRDefault="000550BA">
      <w:pPr>
        <w:pStyle w:val="BodyTextIndent3"/>
        <w:rPr>
          <w:color w:val="161617"/>
        </w:rPr>
      </w:pPr>
      <w:r w:rsidRPr="00FB655B">
        <w:rPr>
          <w:color w:val="161617"/>
        </w:rPr>
        <w:t xml:space="preserve">Each bureau, for its portion of the GSA Federal Buildings Fund, should record in the general ledger </w:t>
      </w:r>
      <w:proofErr w:type="gramStart"/>
      <w:r w:rsidRPr="00FB655B">
        <w:rPr>
          <w:color w:val="161617"/>
        </w:rPr>
        <w:t>all of</w:t>
      </w:r>
      <w:proofErr w:type="gramEnd"/>
      <w:r w:rsidRPr="00FB655B">
        <w:rPr>
          <w:color w:val="161617"/>
        </w:rPr>
        <w:t xml:space="preserve"> the other transactions that occur, which will primarily be transactions related to undelivered orders - paid and unpaid and delivered orders – paid and unpaid.  Both proprietary and budgetary entries should be recorded.</w:t>
      </w:r>
    </w:p>
    <w:p w14:paraId="566C77C2" w14:textId="77777777" w:rsidR="001016BF" w:rsidRPr="0033762F" w:rsidRDefault="001016BF" w:rsidP="001016BF">
      <w:pPr>
        <w:ind w:left="720" w:firstLine="720"/>
        <w:rPr>
          <w:color w:val="161617"/>
          <w:sz w:val="22"/>
          <w:szCs w:val="22"/>
        </w:rPr>
      </w:pPr>
    </w:p>
    <w:p w14:paraId="1A3B212D" w14:textId="77777777" w:rsidR="001016BF" w:rsidRPr="0033762F" w:rsidRDefault="001016BF" w:rsidP="001016BF">
      <w:pPr>
        <w:ind w:left="720" w:firstLine="720"/>
        <w:rPr>
          <w:color w:val="161617"/>
          <w:sz w:val="22"/>
          <w:szCs w:val="22"/>
        </w:rPr>
      </w:pPr>
    </w:p>
    <w:p w14:paraId="69746AB3" w14:textId="77777777" w:rsidR="000550BA" w:rsidRPr="00FB655B" w:rsidRDefault="000550BA">
      <w:pPr>
        <w:pStyle w:val="BodyText"/>
        <w:outlineLvl w:val="0"/>
        <w:rPr>
          <w:bCs/>
          <w:color w:val="161617"/>
        </w:rPr>
      </w:pPr>
      <w:r w:rsidRPr="00FB655B">
        <w:rPr>
          <w:bCs/>
          <w:color w:val="161617"/>
        </w:rPr>
        <w:t>IV.</w:t>
      </w:r>
      <w:r w:rsidRPr="00FB655B">
        <w:rPr>
          <w:color w:val="161617"/>
        </w:rPr>
        <w:t xml:space="preserve"> </w:t>
      </w:r>
      <w:r w:rsidRPr="00A15512">
        <w:rPr>
          <w:color w:val="161617"/>
        </w:rPr>
        <w:t xml:space="preserve">Bureaus’ </w:t>
      </w:r>
      <w:r w:rsidR="00C13258" w:rsidRPr="00A15512">
        <w:rPr>
          <w:color w:val="161617"/>
        </w:rPr>
        <w:t xml:space="preserve">Monthly </w:t>
      </w:r>
      <w:r w:rsidRPr="00A15512">
        <w:rPr>
          <w:color w:val="161617"/>
        </w:rPr>
        <w:t>Submission</w:t>
      </w:r>
      <w:r w:rsidRPr="00FB655B">
        <w:rPr>
          <w:color w:val="161617"/>
        </w:rPr>
        <w:t xml:space="preserve"> of </w:t>
      </w:r>
      <w:r w:rsidR="00CA42B6" w:rsidRPr="00FB655B">
        <w:rPr>
          <w:color w:val="161617"/>
        </w:rPr>
        <w:t>Trial Balance</w:t>
      </w:r>
      <w:r w:rsidR="00A15512">
        <w:rPr>
          <w:color w:val="161617"/>
        </w:rPr>
        <w:t>.</w:t>
      </w:r>
    </w:p>
    <w:p w14:paraId="322E4D70" w14:textId="77777777" w:rsidR="000550BA" w:rsidRPr="00FB655B" w:rsidRDefault="000550BA">
      <w:pPr>
        <w:rPr>
          <w:color w:val="161617"/>
          <w:sz w:val="22"/>
        </w:rPr>
      </w:pPr>
    </w:p>
    <w:p w14:paraId="355D978E" w14:textId="77777777" w:rsidR="000550BA" w:rsidRPr="00FB655B" w:rsidRDefault="00C13258">
      <w:pPr>
        <w:rPr>
          <w:color w:val="161617"/>
          <w:sz w:val="22"/>
        </w:rPr>
      </w:pPr>
      <w:r w:rsidRPr="00A15512">
        <w:rPr>
          <w:b/>
          <w:color w:val="1A1A1A" w:themeColor="background1" w:themeShade="1A"/>
          <w:sz w:val="22"/>
        </w:rPr>
        <w:t>Monthly</w:t>
      </w:r>
      <w:r w:rsidR="000550BA" w:rsidRPr="00A15512">
        <w:rPr>
          <w:color w:val="161617"/>
          <w:sz w:val="22"/>
        </w:rPr>
        <w:t>, bureaus</w:t>
      </w:r>
      <w:r w:rsidR="000550BA" w:rsidRPr="00FB655B">
        <w:rPr>
          <w:color w:val="161617"/>
          <w:sz w:val="22"/>
        </w:rPr>
        <w:t xml:space="preserve"> shall prepare </w:t>
      </w:r>
      <w:r w:rsidR="00C918E6" w:rsidRPr="00FB655B">
        <w:rPr>
          <w:color w:val="161617"/>
          <w:sz w:val="22"/>
        </w:rPr>
        <w:t>Trial Balances (both budgetary and proprietary)</w:t>
      </w:r>
      <w:r w:rsidR="00A15512">
        <w:rPr>
          <w:color w:val="161617"/>
          <w:sz w:val="22"/>
        </w:rPr>
        <w:t xml:space="preserve">.  </w:t>
      </w:r>
      <w:r w:rsidR="00052FCF">
        <w:rPr>
          <w:color w:val="161617"/>
          <w:sz w:val="22"/>
        </w:rPr>
        <w:t>B</w:t>
      </w:r>
      <w:r w:rsidR="000550BA" w:rsidRPr="00FB655B">
        <w:rPr>
          <w:color w:val="161617"/>
          <w:sz w:val="22"/>
        </w:rPr>
        <w:t>ureaus should reconcile amounts per their records to amounts per Treasury's records</w:t>
      </w:r>
      <w:r w:rsidR="006A0768">
        <w:rPr>
          <w:color w:val="161617"/>
          <w:sz w:val="22"/>
        </w:rPr>
        <w:t xml:space="preserve"> </w:t>
      </w:r>
      <w:r w:rsidR="000550BA" w:rsidRPr="00FB655B">
        <w:rPr>
          <w:color w:val="161617"/>
          <w:sz w:val="22"/>
        </w:rPr>
        <w:t xml:space="preserve">and resolve any differences.  </w:t>
      </w:r>
    </w:p>
    <w:p w14:paraId="628C0291" w14:textId="77777777" w:rsidR="000550BA" w:rsidRPr="00FB655B" w:rsidRDefault="000550BA">
      <w:pPr>
        <w:rPr>
          <w:color w:val="161617"/>
          <w:sz w:val="22"/>
        </w:rPr>
      </w:pPr>
    </w:p>
    <w:p w14:paraId="304B68AB" w14:textId="77777777" w:rsidR="000550BA" w:rsidRPr="000A4803" w:rsidRDefault="000550BA">
      <w:pPr>
        <w:rPr>
          <w:bCs/>
          <w:color w:val="161617"/>
          <w:sz w:val="22"/>
        </w:rPr>
      </w:pPr>
      <w:r w:rsidRPr="00FB655B">
        <w:rPr>
          <w:bCs/>
          <w:color w:val="161617"/>
          <w:sz w:val="22"/>
        </w:rPr>
        <w:t xml:space="preserve">The </w:t>
      </w:r>
      <w:r w:rsidR="00CA42B6" w:rsidRPr="00FB655B">
        <w:rPr>
          <w:bCs/>
          <w:color w:val="161617"/>
          <w:sz w:val="22"/>
        </w:rPr>
        <w:t>trial balances</w:t>
      </w:r>
      <w:r w:rsidR="00A15512">
        <w:rPr>
          <w:bCs/>
          <w:color w:val="161617"/>
          <w:sz w:val="22"/>
        </w:rPr>
        <w:t xml:space="preserve"> </w:t>
      </w:r>
      <w:r w:rsidRPr="00FB655B">
        <w:rPr>
          <w:bCs/>
          <w:color w:val="161617"/>
          <w:sz w:val="22"/>
        </w:rPr>
        <w:t>are due to NIST's Financial Services Group by the seventh day of the month that follows the end of the reporting period (unless the 7</w:t>
      </w:r>
      <w:r w:rsidRPr="00FB655B">
        <w:rPr>
          <w:bCs/>
          <w:color w:val="161617"/>
          <w:sz w:val="22"/>
          <w:vertAlign w:val="superscript"/>
        </w:rPr>
        <w:t>th</w:t>
      </w:r>
      <w:r w:rsidRPr="00FB655B">
        <w:rPr>
          <w:bCs/>
          <w:color w:val="161617"/>
          <w:sz w:val="22"/>
        </w:rPr>
        <w:t xml:space="preserve"> falls on a weekend, in which case the due date will be revised).  </w:t>
      </w:r>
      <w:r w:rsidR="00760272" w:rsidRPr="00FB655B">
        <w:rPr>
          <w:bCs/>
          <w:color w:val="161617"/>
          <w:sz w:val="22"/>
        </w:rPr>
        <w:t xml:space="preserve">At year-end, bureaus are also required to submit their year-end trial balances to </w:t>
      </w:r>
      <w:r w:rsidR="00760272" w:rsidRPr="000A4803">
        <w:rPr>
          <w:bCs/>
          <w:color w:val="161617"/>
          <w:sz w:val="22"/>
        </w:rPr>
        <w:t>OFM (see Attachment I</w:t>
      </w:r>
      <w:r w:rsidR="00F9002F">
        <w:rPr>
          <w:bCs/>
          <w:color w:val="161617"/>
          <w:sz w:val="22"/>
        </w:rPr>
        <w:t>,</w:t>
      </w:r>
      <w:r w:rsidR="00760272" w:rsidRPr="000A4803">
        <w:rPr>
          <w:bCs/>
          <w:color w:val="161617"/>
          <w:sz w:val="22"/>
        </w:rPr>
        <w:t xml:space="preserve"> </w:t>
      </w:r>
      <w:r w:rsidR="00760272" w:rsidRPr="00F9002F">
        <w:rPr>
          <w:bCs/>
          <w:i/>
          <w:color w:val="161617"/>
          <w:sz w:val="22"/>
        </w:rPr>
        <w:t>Due Date Calendar</w:t>
      </w:r>
      <w:r w:rsidR="00760272" w:rsidRPr="000A4803">
        <w:rPr>
          <w:bCs/>
          <w:color w:val="161617"/>
          <w:sz w:val="22"/>
        </w:rPr>
        <w:t xml:space="preserve">).  </w:t>
      </w:r>
      <w:r w:rsidRPr="000A4803">
        <w:rPr>
          <w:bCs/>
          <w:color w:val="161617"/>
          <w:sz w:val="22"/>
        </w:rPr>
        <w:t xml:space="preserve">Please </w:t>
      </w:r>
      <w:r w:rsidR="00E10814" w:rsidRPr="000A4803">
        <w:rPr>
          <w:bCs/>
          <w:color w:val="161617"/>
          <w:sz w:val="22"/>
        </w:rPr>
        <w:t xml:space="preserve">scan and email </w:t>
      </w:r>
      <w:r w:rsidRPr="000A4803">
        <w:rPr>
          <w:bCs/>
          <w:color w:val="161617"/>
          <w:sz w:val="22"/>
        </w:rPr>
        <w:t>these reports to</w:t>
      </w:r>
      <w:r w:rsidR="00834789">
        <w:rPr>
          <w:bCs/>
          <w:color w:val="161617"/>
          <w:sz w:val="22"/>
        </w:rPr>
        <w:t xml:space="preserve">:  </w:t>
      </w:r>
    </w:p>
    <w:p w14:paraId="57FB227D" w14:textId="77777777" w:rsidR="000550BA" w:rsidRDefault="000550BA" w:rsidP="0096789A">
      <w:pPr>
        <w:rPr>
          <w:color w:val="161617"/>
          <w:sz w:val="22"/>
        </w:rPr>
      </w:pPr>
    </w:p>
    <w:p w14:paraId="5867025B" w14:textId="77777777" w:rsidR="00C13258" w:rsidRPr="000A4803" w:rsidRDefault="00C13258" w:rsidP="0096789A">
      <w:pPr>
        <w:rPr>
          <w:color w:val="161617"/>
          <w:sz w:val="22"/>
        </w:rPr>
      </w:pPr>
    </w:p>
    <w:p w14:paraId="02D23AF3" w14:textId="77777777" w:rsidR="000550BA" w:rsidRPr="000A4803" w:rsidRDefault="00E10814" w:rsidP="001016BF">
      <w:pPr>
        <w:pStyle w:val="BodyTextIndent2"/>
        <w:tabs>
          <w:tab w:val="clear" w:pos="1080"/>
          <w:tab w:val="left" w:pos="990"/>
        </w:tabs>
        <w:ind w:left="990"/>
        <w:rPr>
          <w:color w:val="161617"/>
        </w:rPr>
      </w:pPr>
      <w:r w:rsidRPr="000A4803">
        <w:rPr>
          <w:color w:val="161617"/>
        </w:rPr>
        <w:t xml:space="preserve">Carole Serfling </w:t>
      </w:r>
    </w:p>
    <w:p w14:paraId="562C203E" w14:textId="77777777" w:rsidR="000550BA" w:rsidRPr="00FB655B" w:rsidRDefault="000550BA" w:rsidP="001016BF">
      <w:pPr>
        <w:pStyle w:val="BodyTextIndent2"/>
        <w:tabs>
          <w:tab w:val="clear" w:pos="1080"/>
          <w:tab w:val="left" w:pos="990"/>
        </w:tabs>
        <w:ind w:left="990"/>
        <w:rPr>
          <w:color w:val="161617"/>
        </w:rPr>
      </w:pPr>
      <w:r w:rsidRPr="000A4803">
        <w:rPr>
          <w:color w:val="161617"/>
        </w:rPr>
        <w:t>National Institute of Standards and Technology</w:t>
      </w:r>
    </w:p>
    <w:p w14:paraId="75DDCB8E" w14:textId="77777777" w:rsidR="000550BA" w:rsidRPr="00FB655B" w:rsidRDefault="000550BA" w:rsidP="001016BF">
      <w:pPr>
        <w:pStyle w:val="BodyTextIndent2"/>
        <w:tabs>
          <w:tab w:val="clear" w:pos="1080"/>
          <w:tab w:val="left" w:pos="990"/>
        </w:tabs>
        <w:ind w:left="990"/>
        <w:rPr>
          <w:color w:val="161617"/>
        </w:rPr>
      </w:pPr>
      <w:r w:rsidRPr="00FB655B">
        <w:rPr>
          <w:color w:val="161617"/>
        </w:rPr>
        <w:lastRenderedPageBreak/>
        <w:t>Financial Services Group</w:t>
      </w:r>
    </w:p>
    <w:p w14:paraId="58D7000B" w14:textId="77777777" w:rsidR="000550BA" w:rsidRPr="00FB655B" w:rsidRDefault="000550BA" w:rsidP="001016BF">
      <w:pPr>
        <w:pStyle w:val="BodyTextIndent2"/>
        <w:tabs>
          <w:tab w:val="clear" w:pos="1080"/>
          <w:tab w:val="left" w:pos="990"/>
        </w:tabs>
        <w:ind w:left="990"/>
        <w:rPr>
          <w:color w:val="161617"/>
        </w:rPr>
      </w:pPr>
      <w:r w:rsidRPr="00FB655B">
        <w:rPr>
          <w:color w:val="161617"/>
        </w:rPr>
        <w:t>100 Bureau Drive, Stop 1623</w:t>
      </w:r>
    </w:p>
    <w:p w14:paraId="4B2990C5" w14:textId="77777777" w:rsidR="000550BA" w:rsidRPr="00FB655B" w:rsidRDefault="000550BA" w:rsidP="001016BF">
      <w:pPr>
        <w:pStyle w:val="BodyTextIndent2"/>
        <w:tabs>
          <w:tab w:val="clear" w:pos="1080"/>
          <w:tab w:val="left" w:pos="990"/>
        </w:tabs>
        <w:ind w:left="990"/>
        <w:rPr>
          <w:color w:val="161617"/>
        </w:rPr>
      </w:pPr>
      <w:r w:rsidRPr="00FB655B">
        <w:rPr>
          <w:color w:val="161617"/>
        </w:rPr>
        <w:t>Gaithersburg, MD  20899-1623</w:t>
      </w:r>
    </w:p>
    <w:p w14:paraId="14A3A930" w14:textId="77777777" w:rsidR="000550BA" w:rsidRPr="00FB655B" w:rsidRDefault="000550BA" w:rsidP="00834789">
      <w:pPr>
        <w:pStyle w:val="BodyTextIndent2"/>
        <w:tabs>
          <w:tab w:val="clear" w:pos="1080"/>
          <w:tab w:val="clear" w:pos="1890"/>
          <w:tab w:val="left" w:pos="990"/>
          <w:tab w:val="left" w:pos="1800"/>
        </w:tabs>
        <w:ind w:left="990"/>
        <w:rPr>
          <w:color w:val="161617"/>
        </w:rPr>
      </w:pPr>
      <w:r w:rsidRPr="00FB655B">
        <w:rPr>
          <w:color w:val="161617"/>
        </w:rPr>
        <w:t>Phone</w:t>
      </w:r>
      <w:r w:rsidR="00033414">
        <w:rPr>
          <w:color w:val="161617"/>
        </w:rPr>
        <w:t>:</w:t>
      </w:r>
      <w:r w:rsidR="00834789">
        <w:rPr>
          <w:color w:val="161617"/>
        </w:rPr>
        <w:tab/>
      </w:r>
      <w:r w:rsidR="005E4639">
        <w:rPr>
          <w:color w:val="161617"/>
        </w:rPr>
        <w:t>(</w:t>
      </w:r>
      <w:r w:rsidR="007C17DB" w:rsidRPr="00FB655B">
        <w:rPr>
          <w:color w:val="161617"/>
        </w:rPr>
        <w:t>301) 975-3170</w:t>
      </w:r>
    </w:p>
    <w:p w14:paraId="659E652F" w14:textId="77777777" w:rsidR="000550BA" w:rsidRPr="00FB655B" w:rsidRDefault="000550BA" w:rsidP="00834789">
      <w:pPr>
        <w:pStyle w:val="BodyTextIndent2"/>
        <w:tabs>
          <w:tab w:val="clear" w:pos="1080"/>
          <w:tab w:val="clear" w:pos="1890"/>
          <w:tab w:val="left" w:pos="990"/>
          <w:tab w:val="left" w:pos="1800"/>
        </w:tabs>
        <w:ind w:left="990"/>
        <w:rPr>
          <w:color w:val="161617"/>
        </w:rPr>
      </w:pPr>
      <w:r w:rsidRPr="00FB655B">
        <w:rPr>
          <w:color w:val="161617"/>
        </w:rPr>
        <w:t>Fax</w:t>
      </w:r>
      <w:r w:rsidR="00033414">
        <w:rPr>
          <w:color w:val="161617"/>
        </w:rPr>
        <w:t>:</w:t>
      </w:r>
      <w:r w:rsidR="00033414">
        <w:rPr>
          <w:color w:val="161617"/>
        </w:rPr>
        <w:tab/>
      </w:r>
      <w:r w:rsidR="00834789">
        <w:rPr>
          <w:color w:val="161617"/>
        </w:rPr>
        <w:tab/>
      </w:r>
      <w:r w:rsidR="005E4639">
        <w:rPr>
          <w:color w:val="161617"/>
        </w:rPr>
        <w:t>(</w:t>
      </w:r>
      <w:r w:rsidRPr="00FB655B">
        <w:rPr>
          <w:color w:val="161617"/>
        </w:rPr>
        <w:t>301) 527-1035</w:t>
      </w:r>
    </w:p>
    <w:p w14:paraId="089CB89C" w14:textId="77777777" w:rsidR="000550BA" w:rsidRPr="001016BF" w:rsidRDefault="000550BA" w:rsidP="00834789">
      <w:pPr>
        <w:pStyle w:val="BodyTextIndent2"/>
        <w:tabs>
          <w:tab w:val="clear" w:pos="1080"/>
          <w:tab w:val="clear" w:pos="1890"/>
          <w:tab w:val="left" w:pos="990"/>
          <w:tab w:val="left" w:pos="1800"/>
        </w:tabs>
        <w:ind w:left="990"/>
        <w:rPr>
          <w:color w:val="161617"/>
          <w:u w:val="single"/>
        </w:rPr>
      </w:pPr>
      <w:r w:rsidRPr="007422AB">
        <w:rPr>
          <w:color w:val="161617"/>
        </w:rPr>
        <w:t>E-mail</w:t>
      </w:r>
      <w:r w:rsidR="00834789">
        <w:rPr>
          <w:color w:val="161617"/>
        </w:rPr>
        <w:t xml:space="preserve">: </w:t>
      </w:r>
      <w:r w:rsidR="00033414">
        <w:rPr>
          <w:color w:val="161617"/>
        </w:rPr>
        <w:tab/>
      </w:r>
      <w:hyperlink r:id="rId8" w:history="1">
        <w:r w:rsidR="007422AB" w:rsidRPr="007422AB">
          <w:rPr>
            <w:rStyle w:val="Hyperlink"/>
          </w:rPr>
          <w:t>Carole.Serfling@NIST.gov</w:t>
        </w:r>
      </w:hyperlink>
    </w:p>
    <w:p w14:paraId="7F62E7CC" w14:textId="77777777" w:rsidR="000550BA" w:rsidRPr="001016BF" w:rsidRDefault="000550BA" w:rsidP="001016BF">
      <w:pPr>
        <w:pStyle w:val="BodyTextIndent2"/>
        <w:tabs>
          <w:tab w:val="clear" w:pos="1080"/>
          <w:tab w:val="left" w:pos="990"/>
        </w:tabs>
        <w:ind w:left="990"/>
        <w:rPr>
          <w:color w:val="161617"/>
          <w:u w:val="single"/>
        </w:rPr>
      </w:pPr>
    </w:p>
    <w:p w14:paraId="106386FB" w14:textId="77777777" w:rsidR="000550BA" w:rsidRPr="00FB655B" w:rsidRDefault="000550BA">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s>
        <w:spacing w:line="233" w:lineRule="auto"/>
        <w:rPr>
          <w:color w:val="161617"/>
          <w:sz w:val="18"/>
        </w:rPr>
      </w:pPr>
    </w:p>
    <w:p w14:paraId="553E070D" w14:textId="77777777" w:rsidR="000550BA" w:rsidRPr="00FB655B" w:rsidRDefault="000550BA">
      <w:pPr>
        <w:pStyle w:val="Heading5"/>
        <w:ind w:hanging="540"/>
        <w:rPr>
          <w:color w:val="161617"/>
        </w:rPr>
      </w:pPr>
      <w:r w:rsidRPr="00FB655B">
        <w:rPr>
          <w:color w:val="161617"/>
        </w:rPr>
        <w:t>V</w:t>
      </w:r>
      <w:r w:rsidR="00BA1DCF" w:rsidRPr="00FB655B">
        <w:rPr>
          <w:color w:val="161617"/>
        </w:rPr>
        <w:t>. Due</w:t>
      </w:r>
      <w:r w:rsidRPr="00FB655B">
        <w:rPr>
          <w:color w:val="161617"/>
        </w:rPr>
        <w:t xml:space="preserve"> Dates</w:t>
      </w:r>
    </w:p>
    <w:p w14:paraId="47A15C95" w14:textId="77777777" w:rsidR="000550BA" w:rsidRPr="00FB655B" w:rsidRDefault="000550BA">
      <w:pPr>
        <w:tabs>
          <w:tab w:val="left" w:pos="-1080"/>
          <w:tab w:val="left" w:pos="-720"/>
          <w:tab w:val="left" w:pos="0"/>
          <w:tab w:val="left" w:pos="3958"/>
          <w:tab w:val="left" w:pos="4678"/>
          <w:tab w:val="left" w:pos="8639"/>
        </w:tabs>
        <w:spacing w:line="232" w:lineRule="auto"/>
        <w:rPr>
          <w:b/>
          <w:color w:val="161617"/>
          <w:sz w:val="22"/>
        </w:rPr>
      </w:pPr>
    </w:p>
    <w:p w14:paraId="14699853" w14:textId="4E954534" w:rsidR="000550BA" w:rsidRPr="00FB655B" w:rsidRDefault="000550BA">
      <w:pPr>
        <w:tabs>
          <w:tab w:val="left" w:pos="-1080"/>
          <w:tab w:val="left" w:pos="-720"/>
          <w:tab w:val="left" w:pos="0"/>
          <w:tab w:val="num" w:pos="900"/>
          <w:tab w:val="left" w:pos="3958"/>
          <w:tab w:val="left" w:pos="4678"/>
          <w:tab w:val="left" w:pos="8639"/>
        </w:tabs>
        <w:spacing w:line="232" w:lineRule="auto"/>
        <w:rPr>
          <w:bCs/>
          <w:color w:val="161617"/>
          <w:sz w:val="22"/>
        </w:rPr>
      </w:pPr>
      <w:r w:rsidRPr="00FB655B">
        <w:rPr>
          <w:bCs/>
          <w:color w:val="161617"/>
          <w:sz w:val="22"/>
        </w:rPr>
        <w:t xml:space="preserve">See </w:t>
      </w:r>
      <w:r w:rsidRPr="0005720F">
        <w:rPr>
          <w:bCs/>
          <w:color w:val="161617"/>
          <w:sz w:val="22"/>
        </w:rPr>
        <w:t xml:space="preserve">FY </w:t>
      </w:r>
      <w:r w:rsidR="00190816">
        <w:rPr>
          <w:bCs/>
          <w:color w:val="161617"/>
          <w:sz w:val="22"/>
        </w:rPr>
        <w:t>20</w:t>
      </w:r>
      <w:r w:rsidR="00584261">
        <w:rPr>
          <w:bCs/>
          <w:color w:val="161617"/>
          <w:sz w:val="22"/>
        </w:rPr>
        <w:t>20</w:t>
      </w:r>
      <w:r w:rsidR="004851CE" w:rsidRPr="0005720F">
        <w:rPr>
          <w:bCs/>
          <w:color w:val="161617"/>
          <w:sz w:val="22"/>
        </w:rPr>
        <w:t>/</w:t>
      </w:r>
      <w:r w:rsidR="00190816">
        <w:rPr>
          <w:bCs/>
          <w:color w:val="161617"/>
          <w:sz w:val="22"/>
        </w:rPr>
        <w:t>202</w:t>
      </w:r>
      <w:r w:rsidR="00584261">
        <w:rPr>
          <w:bCs/>
          <w:color w:val="161617"/>
          <w:sz w:val="22"/>
        </w:rPr>
        <w:t>1</w:t>
      </w:r>
      <w:r w:rsidR="004851CE" w:rsidRPr="0005720F">
        <w:rPr>
          <w:bCs/>
          <w:color w:val="161617"/>
          <w:sz w:val="22"/>
        </w:rPr>
        <w:t xml:space="preserve"> </w:t>
      </w:r>
      <w:r w:rsidRPr="0005720F">
        <w:rPr>
          <w:bCs/>
          <w:color w:val="161617"/>
          <w:sz w:val="22"/>
        </w:rPr>
        <w:t>Financial</w:t>
      </w:r>
      <w:r w:rsidRPr="00FB655B">
        <w:rPr>
          <w:bCs/>
          <w:color w:val="161617"/>
          <w:sz w:val="22"/>
        </w:rPr>
        <w:t xml:space="preserve"> Statement Guidance Attachment I, </w:t>
      </w:r>
      <w:r w:rsidRPr="00FB655B">
        <w:rPr>
          <w:bCs/>
          <w:i/>
          <w:iCs/>
          <w:color w:val="161617"/>
          <w:sz w:val="22"/>
        </w:rPr>
        <w:t>Due Date Calendar</w:t>
      </w:r>
      <w:r w:rsidRPr="00FB655B">
        <w:rPr>
          <w:bCs/>
          <w:color w:val="161617"/>
          <w:sz w:val="22"/>
        </w:rPr>
        <w:t>, for due dates.</w:t>
      </w:r>
      <w:r w:rsidR="0079305F">
        <w:rPr>
          <w:bCs/>
          <w:color w:val="161617"/>
          <w:sz w:val="22"/>
        </w:rPr>
        <w:t xml:space="preserve">  </w:t>
      </w:r>
      <w:r w:rsidRPr="00FB655B">
        <w:rPr>
          <w:bCs/>
          <w:color w:val="161617"/>
          <w:sz w:val="22"/>
        </w:rPr>
        <w:t>OFM will monitor bureaus’ submissions against the due dates</w:t>
      </w:r>
      <w:r w:rsidR="006A0768" w:rsidRPr="00FB655B">
        <w:rPr>
          <w:bCs/>
          <w:color w:val="161617"/>
          <w:sz w:val="22"/>
        </w:rPr>
        <w:t xml:space="preserve">.  </w:t>
      </w:r>
      <w:r w:rsidRPr="00FB655B">
        <w:rPr>
          <w:bCs/>
          <w:color w:val="161617"/>
          <w:sz w:val="22"/>
        </w:rPr>
        <w:t>A deadline may be considered not met if the data is incomplete, inaccurate, or not reconciled to other applicable data.</w:t>
      </w:r>
    </w:p>
    <w:p w14:paraId="3205539D" w14:textId="77777777" w:rsidR="00B13ACA" w:rsidRDefault="00B13ACA" w:rsidP="00B13ACA"/>
    <w:p w14:paraId="11656F00" w14:textId="77777777" w:rsidR="0079305F" w:rsidRPr="00B13ACA" w:rsidRDefault="0079305F" w:rsidP="00B13ACA"/>
    <w:p w14:paraId="7B6018FB" w14:textId="77777777" w:rsidR="000550BA" w:rsidRPr="00FB655B" w:rsidRDefault="000550BA">
      <w:pPr>
        <w:pStyle w:val="Heading3"/>
        <w:rPr>
          <w:color w:val="161617"/>
        </w:rPr>
      </w:pPr>
      <w:r w:rsidRPr="00FB655B">
        <w:rPr>
          <w:color w:val="161617"/>
        </w:rPr>
        <w:t>VI</w:t>
      </w:r>
      <w:r w:rsidR="00BA1DCF" w:rsidRPr="00FB655B">
        <w:rPr>
          <w:color w:val="161617"/>
        </w:rPr>
        <w:t>. References</w:t>
      </w:r>
    </w:p>
    <w:p w14:paraId="30AB480D" w14:textId="77777777" w:rsidR="000550BA" w:rsidRPr="00FB655B" w:rsidRDefault="000550BA">
      <w:pPr>
        <w:numPr>
          <w:ilvl w:val="12"/>
          <w:numId w:val="0"/>
        </w:num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rPr>
          <w:b/>
          <w:color w:val="161617"/>
          <w:sz w:val="18"/>
        </w:rPr>
      </w:pPr>
    </w:p>
    <w:p w14:paraId="34484561" w14:textId="63F9EDF2" w:rsidR="00584261" w:rsidRDefault="001551B5" w:rsidP="001551B5">
      <w:pPr>
        <w:rPr>
          <w:color w:val="161617"/>
          <w:sz w:val="22"/>
          <w:szCs w:val="22"/>
        </w:rPr>
      </w:pPr>
      <w:r w:rsidRPr="0005034A">
        <w:rPr>
          <w:color w:val="161617"/>
          <w:sz w:val="22"/>
          <w:szCs w:val="22"/>
        </w:rPr>
        <w:t xml:space="preserve">Treasury </w:t>
      </w:r>
      <w:r w:rsidRPr="00834789">
        <w:rPr>
          <w:color w:val="161617"/>
          <w:sz w:val="22"/>
          <w:szCs w:val="22"/>
        </w:rPr>
        <w:t xml:space="preserve">Financial </w:t>
      </w:r>
      <w:r w:rsidR="00701B08">
        <w:rPr>
          <w:color w:val="161617"/>
          <w:sz w:val="22"/>
          <w:szCs w:val="22"/>
        </w:rPr>
        <w:t>Manual supplement</w:t>
      </w:r>
      <w:r w:rsidRPr="00701B08">
        <w:rPr>
          <w:i/>
          <w:color w:val="161617"/>
          <w:sz w:val="22"/>
          <w:szCs w:val="22"/>
        </w:rPr>
        <w:t xml:space="preserve"> U.S. Government Standard General Ledger</w:t>
      </w:r>
      <w:r w:rsidR="00701B08">
        <w:rPr>
          <w:color w:val="161617"/>
          <w:sz w:val="22"/>
          <w:szCs w:val="22"/>
        </w:rPr>
        <w:t xml:space="preserve">, section III:  </w:t>
      </w:r>
      <w:r w:rsidR="00701B08" w:rsidRPr="00701B08">
        <w:rPr>
          <w:i/>
          <w:color w:val="161617"/>
          <w:sz w:val="22"/>
          <w:szCs w:val="22"/>
        </w:rPr>
        <w:t>Accounting Tra</w:t>
      </w:r>
      <w:r w:rsidR="00701B08">
        <w:rPr>
          <w:i/>
          <w:color w:val="161617"/>
          <w:sz w:val="22"/>
          <w:szCs w:val="22"/>
        </w:rPr>
        <w:t>n</w:t>
      </w:r>
      <w:r w:rsidR="00701B08" w:rsidRPr="00701B08">
        <w:rPr>
          <w:i/>
          <w:color w:val="161617"/>
          <w:sz w:val="22"/>
          <w:szCs w:val="22"/>
        </w:rPr>
        <w:t>sactions</w:t>
      </w:r>
      <w:r w:rsidRPr="0005034A">
        <w:rPr>
          <w:color w:val="161617"/>
          <w:sz w:val="22"/>
          <w:szCs w:val="22"/>
        </w:rPr>
        <w:t xml:space="preserve">, </w:t>
      </w:r>
      <w:r w:rsidR="00701B08">
        <w:rPr>
          <w:color w:val="161617"/>
          <w:sz w:val="22"/>
          <w:szCs w:val="22"/>
        </w:rPr>
        <w:t>as updated</w:t>
      </w:r>
      <w:r w:rsidR="00584261">
        <w:rPr>
          <w:color w:val="161617"/>
          <w:sz w:val="22"/>
          <w:szCs w:val="22"/>
        </w:rPr>
        <w:t xml:space="preserve"> by Bulletin No 2020-</w:t>
      </w:r>
      <w:r w:rsidR="007D70DC">
        <w:rPr>
          <w:color w:val="161617"/>
          <w:sz w:val="22"/>
          <w:szCs w:val="22"/>
        </w:rPr>
        <w:t>21</w:t>
      </w:r>
      <w:r w:rsidR="00584261">
        <w:rPr>
          <w:color w:val="161617"/>
          <w:sz w:val="22"/>
          <w:szCs w:val="22"/>
        </w:rPr>
        <w:t xml:space="preserve"> (</w:t>
      </w:r>
      <w:r w:rsidR="007D70DC">
        <w:rPr>
          <w:color w:val="161617"/>
          <w:sz w:val="22"/>
          <w:szCs w:val="22"/>
        </w:rPr>
        <w:t>August 2020</w:t>
      </w:r>
      <w:r w:rsidR="00584261">
        <w:rPr>
          <w:color w:val="161617"/>
          <w:sz w:val="22"/>
          <w:szCs w:val="22"/>
        </w:rPr>
        <w:t>):</w:t>
      </w:r>
    </w:p>
    <w:p w14:paraId="35F7DFBC" w14:textId="10EBFCAC" w:rsidR="001551B5" w:rsidRPr="00834789" w:rsidRDefault="0054778C" w:rsidP="001551B5">
      <w:pPr>
        <w:rPr>
          <w:rFonts w:ascii="Arial" w:hAnsi="Arial" w:cs="Arial"/>
          <w:color w:val="161617"/>
          <w:sz w:val="22"/>
          <w:szCs w:val="22"/>
        </w:rPr>
      </w:pPr>
      <w:hyperlink r:id="rId9" w:history="1">
        <w:r w:rsidR="00584261">
          <w:rPr>
            <w:rStyle w:val="Hyperlink"/>
            <w:sz w:val="22"/>
            <w:szCs w:val="22"/>
          </w:rPr>
          <w:t>https://tfm.fiscal.treasury.gov/v1/supplements/ussgl/ussgl_part_2.html</w:t>
        </w:r>
      </w:hyperlink>
      <w:r w:rsidR="00560BF8">
        <w:rPr>
          <w:rStyle w:val="Hyperlink"/>
          <w:color w:val="161617"/>
          <w:sz w:val="22"/>
          <w:szCs w:val="22"/>
          <w:highlight w:val="yellow"/>
          <w:u w:val="none"/>
        </w:rPr>
        <w:t xml:space="preserve"> </w:t>
      </w:r>
    </w:p>
    <w:p w14:paraId="014EEDF1" w14:textId="77777777" w:rsidR="006B2A41" w:rsidRPr="00834789" w:rsidRDefault="006B2A41" w:rsidP="001551B5">
      <w:pPr>
        <w:rPr>
          <w:rFonts w:ascii="Arial" w:hAnsi="Arial" w:cs="Arial"/>
          <w:color w:val="161617"/>
          <w:sz w:val="24"/>
          <w:szCs w:val="24"/>
        </w:rPr>
      </w:pPr>
    </w:p>
    <w:p w14:paraId="4C0AE455" w14:textId="0FB8CBFD" w:rsidR="000550BA" w:rsidRPr="00FB655B" w:rsidRDefault="000550BA">
      <w:pPr>
        <w:rPr>
          <w:color w:val="161617"/>
          <w:sz w:val="22"/>
        </w:rPr>
      </w:pPr>
      <w:r w:rsidRPr="00657711">
        <w:rPr>
          <w:i/>
          <w:color w:val="161617"/>
          <w:sz w:val="22"/>
        </w:rPr>
        <w:t>Allocation Transfers Interagency Agreement (IA</w:t>
      </w:r>
      <w:r w:rsidR="00DA5D8C">
        <w:rPr>
          <w:i/>
          <w:color w:val="161617"/>
          <w:sz w:val="22"/>
        </w:rPr>
        <w:t>A</w:t>
      </w:r>
      <w:r w:rsidRPr="00657711">
        <w:rPr>
          <w:i/>
          <w:color w:val="161617"/>
          <w:sz w:val="22"/>
        </w:rPr>
        <w:t xml:space="preserve">) Obligational Authority and Fund Balance with Treasury Transfer from Parent Appropriation to Transfer Appropriation, </w:t>
      </w:r>
      <w:r w:rsidRPr="00657711">
        <w:rPr>
          <w:color w:val="161617"/>
          <w:sz w:val="22"/>
        </w:rPr>
        <w:t>Treasury's Financial Management Service, U.S. Government Standard General Ledger, Position/Policy Statement, Effective on October 1, 1996</w:t>
      </w:r>
      <w:r w:rsidR="00834789">
        <w:rPr>
          <w:color w:val="161617"/>
          <w:sz w:val="22"/>
        </w:rPr>
        <w:t xml:space="preserve">:  </w:t>
      </w:r>
      <w:r w:rsidRPr="00657711">
        <w:rPr>
          <w:color w:val="161617"/>
          <w:sz w:val="22"/>
        </w:rPr>
        <w:t>pages I-1 through I-8 (no longer available in FMS website Archives)</w:t>
      </w:r>
    </w:p>
    <w:p w14:paraId="58E66A0B" w14:textId="77777777" w:rsidR="000550BA" w:rsidRPr="00FB655B" w:rsidRDefault="000550BA">
      <w:pPr>
        <w:rPr>
          <w:color w:val="161617"/>
          <w:sz w:val="18"/>
        </w:rPr>
      </w:pPr>
    </w:p>
    <w:p w14:paraId="1A7F1325" w14:textId="77777777" w:rsidR="000550BA" w:rsidRPr="00FB655B" w:rsidRDefault="000550BA">
      <w:pPr>
        <w:rPr>
          <w:color w:val="161617"/>
          <w:sz w:val="18"/>
        </w:rPr>
      </w:pPr>
    </w:p>
    <w:p w14:paraId="180E428B" w14:textId="77777777" w:rsidR="000550BA" w:rsidRPr="00FB655B" w:rsidRDefault="000550BA">
      <w:pPr>
        <w:pStyle w:val="Heading3"/>
        <w:rPr>
          <w:color w:val="161617"/>
        </w:rPr>
      </w:pPr>
      <w:r w:rsidRPr="00FB655B">
        <w:rPr>
          <w:color w:val="161617"/>
        </w:rPr>
        <w:t>VII</w:t>
      </w:r>
      <w:r w:rsidR="00BA1DCF" w:rsidRPr="00FB655B">
        <w:rPr>
          <w:color w:val="161617"/>
        </w:rPr>
        <w:t>. OFM</w:t>
      </w:r>
      <w:r w:rsidRPr="00FB655B">
        <w:rPr>
          <w:color w:val="161617"/>
        </w:rPr>
        <w:t xml:space="preserve"> Contact</w:t>
      </w:r>
    </w:p>
    <w:p w14:paraId="761B88A3" w14:textId="77777777" w:rsidR="000550BA" w:rsidRPr="00FB655B" w:rsidRDefault="000550BA">
      <w:pPr>
        <w:rPr>
          <w:color w:val="161617"/>
          <w:sz w:val="18"/>
        </w:rPr>
      </w:pPr>
    </w:p>
    <w:p w14:paraId="1955D39F" w14:textId="77777777" w:rsidR="000550BA" w:rsidRDefault="000550BA">
      <w:pPr>
        <w:ind w:left="1440" w:hanging="1440"/>
        <w:jc w:val="both"/>
        <w:rPr>
          <w:color w:val="161617"/>
          <w:sz w:val="22"/>
        </w:rPr>
      </w:pPr>
      <w:r w:rsidRPr="00FB655B">
        <w:rPr>
          <w:color w:val="161617"/>
          <w:sz w:val="22"/>
        </w:rPr>
        <w:t>Questions related to Attachment H can be directed to</w:t>
      </w:r>
      <w:r w:rsidR="00834789">
        <w:rPr>
          <w:color w:val="161617"/>
          <w:sz w:val="22"/>
        </w:rPr>
        <w:t xml:space="preserve">:  </w:t>
      </w:r>
    </w:p>
    <w:p w14:paraId="0CA43EBA" w14:textId="77777777" w:rsidR="00906DBC" w:rsidRDefault="00906DBC">
      <w:pPr>
        <w:ind w:left="1440" w:hanging="1440"/>
        <w:jc w:val="both"/>
        <w:rPr>
          <w:color w:val="161617"/>
          <w:sz w:val="22"/>
        </w:rPr>
      </w:pPr>
    </w:p>
    <w:p w14:paraId="14070F62" w14:textId="77777777" w:rsidR="00DF6FDB" w:rsidRPr="009D1F4D" w:rsidRDefault="00511E70" w:rsidP="00834789">
      <w:pPr>
        <w:pStyle w:val="WPBodyText"/>
        <w:tabs>
          <w:tab w:val="left" w:pos="720"/>
          <w:tab w:val="left" w:pos="4410"/>
          <w:tab w:val="left" w:pos="6480"/>
          <w:tab w:val="left" w:pos="7290"/>
        </w:tabs>
        <w:jc w:val="left"/>
        <w:rPr>
          <w:color w:val="181818"/>
          <w:szCs w:val="22"/>
        </w:rPr>
      </w:pPr>
      <w:r w:rsidRPr="009D1F4D">
        <w:rPr>
          <w:color w:val="181818"/>
          <w:szCs w:val="22"/>
        </w:rPr>
        <w:t>Bruce Henshel</w:t>
      </w:r>
      <w:r w:rsidR="00906DBC" w:rsidRPr="009D1F4D">
        <w:rPr>
          <w:color w:val="181818"/>
          <w:szCs w:val="22"/>
        </w:rPr>
        <w:t>–</w:t>
      </w:r>
      <w:r w:rsidR="00F22CCF" w:rsidRPr="009D1F4D">
        <w:rPr>
          <w:color w:val="181818"/>
          <w:szCs w:val="22"/>
        </w:rPr>
        <w:t>OFM</w:t>
      </w:r>
      <w:r w:rsidR="00F22CCF" w:rsidRPr="009D1F4D">
        <w:rPr>
          <w:color w:val="181818"/>
          <w:szCs w:val="22"/>
        </w:rPr>
        <w:tab/>
      </w:r>
      <w:r w:rsidR="00F22CCF" w:rsidRPr="009D1F4D">
        <w:rPr>
          <w:color w:val="181818"/>
          <w:szCs w:val="22"/>
        </w:rPr>
        <w:tab/>
      </w:r>
      <w:r w:rsidR="00681137">
        <w:rPr>
          <w:color w:val="181818"/>
          <w:szCs w:val="22"/>
        </w:rPr>
        <w:t>Kristin Salzer</w:t>
      </w:r>
      <w:r w:rsidR="00DF6FDB" w:rsidRPr="009D1F4D">
        <w:rPr>
          <w:color w:val="181818"/>
          <w:szCs w:val="22"/>
        </w:rPr>
        <w:t>–OFM</w:t>
      </w:r>
    </w:p>
    <w:p w14:paraId="6DE5E3B6" w14:textId="77777777" w:rsidR="00F22CCF" w:rsidRPr="009D1F4D" w:rsidRDefault="00DF6FDB" w:rsidP="00834789">
      <w:pPr>
        <w:pStyle w:val="WPBodyText"/>
        <w:tabs>
          <w:tab w:val="left" w:pos="720"/>
          <w:tab w:val="left" w:pos="4410"/>
          <w:tab w:val="left" w:pos="6480"/>
          <w:tab w:val="left" w:pos="7290"/>
        </w:tabs>
        <w:jc w:val="left"/>
        <w:rPr>
          <w:color w:val="181818"/>
          <w:szCs w:val="22"/>
        </w:rPr>
      </w:pPr>
      <w:r w:rsidRPr="009D1F4D">
        <w:rPr>
          <w:color w:val="181818"/>
          <w:szCs w:val="22"/>
        </w:rPr>
        <w:t>Tel</w:t>
      </w:r>
      <w:r w:rsidR="00834789">
        <w:rPr>
          <w:color w:val="181818"/>
          <w:szCs w:val="22"/>
        </w:rPr>
        <w:t xml:space="preserve">:  </w:t>
      </w:r>
      <w:r w:rsidR="00834789">
        <w:rPr>
          <w:color w:val="181818"/>
          <w:szCs w:val="22"/>
        </w:rPr>
        <w:tab/>
      </w:r>
      <w:r w:rsidR="005E4639" w:rsidRPr="009D1F4D">
        <w:rPr>
          <w:color w:val="181818"/>
          <w:szCs w:val="22"/>
        </w:rPr>
        <w:t>(</w:t>
      </w:r>
      <w:r w:rsidRPr="009D1F4D">
        <w:rPr>
          <w:color w:val="181818"/>
          <w:szCs w:val="22"/>
        </w:rPr>
        <w:t>202) 482-</w:t>
      </w:r>
      <w:r w:rsidR="00511E70" w:rsidRPr="009D1F4D">
        <w:rPr>
          <w:color w:val="181818"/>
          <w:szCs w:val="22"/>
        </w:rPr>
        <w:t>0646</w:t>
      </w:r>
      <w:r w:rsidR="00834789">
        <w:rPr>
          <w:color w:val="181818"/>
          <w:szCs w:val="22"/>
        </w:rPr>
        <w:tab/>
      </w:r>
      <w:r w:rsidR="00897D95" w:rsidRPr="009D1F4D">
        <w:rPr>
          <w:color w:val="181818"/>
          <w:szCs w:val="22"/>
        </w:rPr>
        <w:t>and</w:t>
      </w:r>
      <w:r w:rsidR="00834789">
        <w:rPr>
          <w:color w:val="181818"/>
          <w:szCs w:val="22"/>
        </w:rPr>
        <w:tab/>
      </w:r>
      <w:r w:rsidR="00566719" w:rsidRPr="009D1F4D">
        <w:rPr>
          <w:color w:val="181818"/>
          <w:szCs w:val="22"/>
        </w:rPr>
        <w:t>Tel</w:t>
      </w:r>
      <w:r w:rsidR="00834789">
        <w:rPr>
          <w:color w:val="181818"/>
          <w:szCs w:val="22"/>
        </w:rPr>
        <w:t xml:space="preserve">:  </w:t>
      </w:r>
      <w:r w:rsidR="00834789">
        <w:rPr>
          <w:color w:val="181818"/>
          <w:szCs w:val="22"/>
        </w:rPr>
        <w:tab/>
      </w:r>
      <w:r w:rsidR="005E4639" w:rsidRPr="009D1F4D">
        <w:rPr>
          <w:color w:val="181818"/>
          <w:szCs w:val="22"/>
        </w:rPr>
        <w:t>(</w:t>
      </w:r>
      <w:r w:rsidR="00681137">
        <w:rPr>
          <w:color w:val="181818"/>
          <w:szCs w:val="22"/>
        </w:rPr>
        <w:t>202) 482-2715</w:t>
      </w:r>
      <w:r w:rsidR="00F22CCF" w:rsidRPr="009D1F4D">
        <w:rPr>
          <w:color w:val="181818"/>
          <w:szCs w:val="22"/>
        </w:rPr>
        <w:t xml:space="preserve"> </w:t>
      </w:r>
    </w:p>
    <w:p w14:paraId="275DB767" w14:textId="77777777" w:rsidR="000550BA" w:rsidRPr="00DF6FDB" w:rsidRDefault="00F22CCF" w:rsidP="00834789">
      <w:pPr>
        <w:pStyle w:val="WPBodyText"/>
        <w:tabs>
          <w:tab w:val="left" w:pos="720"/>
          <w:tab w:val="left" w:pos="4410"/>
          <w:tab w:val="left" w:pos="6480"/>
          <w:tab w:val="left" w:pos="7290"/>
        </w:tabs>
        <w:jc w:val="left"/>
        <w:rPr>
          <w:color w:val="181818"/>
          <w:szCs w:val="22"/>
        </w:rPr>
      </w:pPr>
      <w:r w:rsidRPr="009D1F4D">
        <w:rPr>
          <w:color w:val="181818"/>
          <w:szCs w:val="22"/>
        </w:rPr>
        <w:t>Email</w:t>
      </w:r>
      <w:r w:rsidR="00834789">
        <w:rPr>
          <w:color w:val="181818"/>
          <w:szCs w:val="22"/>
        </w:rPr>
        <w:t xml:space="preserve">:  </w:t>
      </w:r>
      <w:hyperlink r:id="rId10" w:history="1">
        <w:r w:rsidR="00834789" w:rsidRPr="00BF60CA">
          <w:rPr>
            <w:rStyle w:val="Hyperlink"/>
          </w:rPr>
          <w:t>BHenshel@doc.gov</w:t>
        </w:r>
      </w:hyperlink>
      <w:r w:rsidR="00834789">
        <w:rPr>
          <w:color w:val="181818"/>
        </w:rPr>
        <w:tab/>
      </w:r>
      <w:r w:rsidRPr="009D1F4D">
        <w:rPr>
          <w:color w:val="181818"/>
          <w:szCs w:val="22"/>
        </w:rPr>
        <w:tab/>
      </w:r>
      <w:r w:rsidR="00DF6FDB" w:rsidRPr="009D1F4D">
        <w:rPr>
          <w:color w:val="181818"/>
          <w:szCs w:val="22"/>
        </w:rPr>
        <w:t>E-mail</w:t>
      </w:r>
      <w:r w:rsidR="00834789">
        <w:rPr>
          <w:color w:val="181818"/>
          <w:szCs w:val="22"/>
        </w:rPr>
        <w:t xml:space="preserve">: </w:t>
      </w:r>
      <w:r w:rsidR="00834789">
        <w:rPr>
          <w:color w:val="181818"/>
          <w:szCs w:val="22"/>
        </w:rPr>
        <w:tab/>
      </w:r>
      <w:hyperlink r:id="rId11" w:history="1">
        <w:r w:rsidR="00D555A4" w:rsidRPr="00834789">
          <w:rPr>
            <w:color w:val="0000FF"/>
            <w:u w:val="single"/>
          </w:rPr>
          <w:t>KSalzer@doc.gov</w:t>
        </w:r>
      </w:hyperlink>
      <w:r w:rsidR="00D555A4">
        <w:rPr>
          <w:color w:val="181818"/>
          <w:szCs w:val="22"/>
        </w:rPr>
        <w:t xml:space="preserve"> </w:t>
      </w:r>
    </w:p>
    <w:p w14:paraId="5151AEAD" w14:textId="77777777" w:rsidR="00E6268C" w:rsidRPr="00834789" w:rsidRDefault="00E6268C" w:rsidP="00834789">
      <w:pPr>
        <w:pStyle w:val="WPBodyText"/>
        <w:tabs>
          <w:tab w:val="left" w:pos="720"/>
          <w:tab w:val="left" w:pos="4410"/>
          <w:tab w:val="left" w:pos="6480"/>
          <w:tab w:val="left" w:pos="7290"/>
        </w:tabs>
        <w:jc w:val="left"/>
        <w:rPr>
          <w:color w:val="181818"/>
          <w:szCs w:val="22"/>
        </w:rPr>
      </w:pPr>
    </w:p>
    <w:sectPr w:rsidR="00E6268C" w:rsidRPr="00834789">
      <w:headerReference w:type="default" r:id="rId12"/>
      <w:footerReference w:type="default" r:id="rId13"/>
      <w:endnotePr>
        <w:numFmt w:val="decimal"/>
      </w:endnotePr>
      <w:pgSz w:w="12240" w:h="15840" w:code="1"/>
      <w:pgMar w:top="1440" w:right="900" w:bottom="1440" w:left="1440" w:header="1008" w:footer="10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FD920" w14:textId="77777777" w:rsidR="00B965AC" w:rsidRDefault="00B965AC">
      <w:r>
        <w:separator/>
      </w:r>
    </w:p>
  </w:endnote>
  <w:endnote w:type="continuationSeparator" w:id="0">
    <w:p w14:paraId="70D984DB" w14:textId="77777777" w:rsidR="00B965AC" w:rsidRDefault="00B9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9C58C" w14:textId="0DE6BEBA" w:rsidR="00390431" w:rsidRPr="002E6221" w:rsidRDefault="00390431" w:rsidP="00C53CF1">
    <w:pPr>
      <w:pStyle w:val="Footer"/>
      <w:jc w:val="right"/>
      <w:rPr>
        <w:sz w:val="24"/>
        <w:szCs w:val="24"/>
      </w:rPr>
    </w:pPr>
    <w:r w:rsidRPr="002E6221">
      <w:rPr>
        <w:rStyle w:val="PageNumber"/>
        <w:sz w:val="24"/>
        <w:szCs w:val="24"/>
      </w:rPr>
      <w:t>H-</w:t>
    </w:r>
    <w:r w:rsidRPr="002E6221">
      <w:rPr>
        <w:rStyle w:val="PageNumber"/>
        <w:sz w:val="24"/>
        <w:szCs w:val="24"/>
      </w:rPr>
      <w:fldChar w:fldCharType="begin"/>
    </w:r>
    <w:r w:rsidRPr="002E6221">
      <w:rPr>
        <w:rStyle w:val="PageNumber"/>
        <w:sz w:val="24"/>
        <w:szCs w:val="24"/>
      </w:rPr>
      <w:instrText xml:space="preserve"> PAGE </w:instrText>
    </w:r>
    <w:r w:rsidRPr="002E6221">
      <w:rPr>
        <w:rStyle w:val="PageNumber"/>
        <w:sz w:val="24"/>
        <w:szCs w:val="24"/>
      </w:rPr>
      <w:fldChar w:fldCharType="separate"/>
    </w:r>
    <w:r w:rsidR="00A148D4">
      <w:rPr>
        <w:rStyle w:val="PageNumber"/>
        <w:noProof/>
        <w:sz w:val="24"/>
        <w:szCs w:val="24"/>
      </w:rPr>
      <w:t>1</w:t>
    </w:r>
    <w:r w:rsidRPr="002E6221">
      <w:rPr>
        <w:rStyle w:val="PageNumber"/>
        <w:sz w:val="24"/>
        <w:szCs w:val="24"/>
      </w:rPr>
      <w:fldChar w:fldCharType="end"/>
    </w:r>
    <w:r w:rsidRPr="002E6221">
      <w:rPr>
        <w:rStyle w:val="PageNumber"/>
        <w:sz w:val="24"/>
        <w:szCs w:val="24"/>
      </w:rPr>
      <w:t xml:space="preserve">                         </w:t>
    </w:r>
    <w:r w:rsidR="009D1F4D">
      <w:rPr>
        <w:rStyle w:val="PageNumber"/>
        <w:sz w:val="24"/>
        <w:szCs w:val="24"/>
      </w:rPr>
      <w:t xml:space="preserve">  </w:t>
    </w:r>
    <w:r w:rsidR="00AE6185">
      <w:rPr>
        <w:rStyle w:val="PageNumber"/>
        <w:sz w:val="24"/>
        <w:szCs w:val="24"/>
      </w:rPr>
      <w:t xml:space="preserve">    </w:t>
    </w:r>
    <w:r w:rsidR="00681137">
      <w:rPr>
        <w:rStyle w:val="PageNumber"/>
        <w:sz w:val="24"/>
        <w:szCs w:val="24"/>
      </w:rPr>
      <w:t xml:space="preserve"> </w:t>
    </w:r>
    <w:r w:rsidR="004809F9">
      <w:rPr>
        <w:rStyle w:val="PageNumber"/>
        <w:sz w:val="24"/>
        <w:szCs w:val="24"/>
      </w:rPr>
      <w:t xml:space="preserve">                   </w:t>
    </w:r>
    <w:r w:rsidR="0054778C">
      <w:rPr>
        <w:rStyle w:val="PageNumber"/>
        <w:sz w:val="24"/>
        <w:szCs w:val="24"/>
      </w:rPr>
      <w:t>December</w:t>
    </w:r>
    <w:r w:rsidR="007D70DC">
      <w:rPr>
        <w:rStyle w:val="PageNumber"/>
        <w:sz w:val="24"/>
        <w:szCs w:val="24"/>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70EE5" w14:textId="77777777" w:rsidR="00B965AC" w:rsidRDefault="00B965AC">
      <w:r>
        <w:separator/>
      </w:r>
    </w:p>
  </w:footnote>
  <w:footnote w:type="continuationSeparator" w:id="0">
    <w:p w14:paraId="72A5667D" w14:textId="77777777" w:rsidR="00B965AC" w:rsidRDefault="00B96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3275A" w14:textId="77777777" w:rsidR="00390431" w:rsidRDefault="00390431">
    <w:pPr>
      <w:pStyle w:val="Header"/>
      <w:jc w:val="right"/>
      <w:rPr>
        <w:sz w:val="24"/>
      </w:rPr>
    </w:pPr>
    <w:r>
      <w:rPr>
        <w:sz w:val="24"/>
      </w:rPr>
      <w:t>Attachment H</w:t>
    </w:r>
  </w:p>
  <w:p w14:paraId="3849910C" w14:textId="77777777" w:rsidR="00390431" w:rsidRDefault="00390431">
    <w:pPr>
      <w:pStyle w:val="Header"/>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A2832"/>
    <w:multiLevelType w:val="hybridMultilevel"/>
    <w:tmpl w:val="2132CC22"/>
    <w:lvl w:ilvl="0" w:tplc="78B8ABA4">
      <w:start w:val="4176"/>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96A4313"/>
    <w:multiLevelType w:val="singleLevel"/>
    <w:tmpl w:val="072EF2E0"/>
    <w:lvl w:ilvl="0">
      <w:start w:val="1010"/>
      <w:numFmt w:val="decimal"/>
      <w:lvlText w:val="%1"/>
      <w:lvlJc w:val="left"/>
      <w:pPr>
        <w:tabs>
          <w:tab w:val="num" w:pos="2160"/>
        </w:tabs>
        <w:ind w:left="2160" w:hanging="1440"/>
      </w:pPr>
      <w:rPr>
        <w:rFonts w:hint="default"/>
      </w:rPr>
    </w:lvl>
  </w:abstractNum>
  <w:abstractNum w:abstractNumId="2" w15:restartNumberingAfterBreak="0">
    <w:nsid w:val="6AFE660B"/>
    <w:multiLevelType w:val="hybridMultilevel"/>
    <w:tmpl w:val="C95E9344"/>
    <w:lvl w:ilvl="0" w:tplc="3C725EB0">
      <w:start w:val="4510"/>
      <w:numFmt w:val="decimal"/>
      <w:lvlText w:val="%1"/>
      <w:lvlJc w:val="left"/>
      <w:pPr>
        <w:tabs>
          <w:tab w:val="num" w:pos="1140"/>
        </w:tabs>
        <w:ind w:left="1140" w:hanging="420"/>
      </w:pPr>
      <w:rPr>
        <w:rFonts w:hint="default"/>
      </w:rPr>
    </w:lvl>
    <w:lvl w:ilvl="1" w:tplc="3EB40EB0">
      <w:start w:val="2"/>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0BA"/>
    <w:rsid w:val="0000474D"/>
    <w:rsid w:val="00012DF1"/>
    <w:rsid w:val="00015EA3"/>
    <w:rsid w:val="00033414"/>
    <w:rsid w:val="0003371A"/>
    <w:rsid w:val="00047ACB"/>
    <w:rsid w:val="0005034A"/>
    <w:rsid w:val="0005066B"/>
    <w:rsid w:val="0005115A"/>
    <w:rsid w:val="000526F9"/>
    <w:rsid w:val="00052FCF"/>
    <w:rsid w:val="000550BA"/>
    <w:rsid w:val="0005720F"/>
    <w:rsid w:val="0007575E"/>
    <w:rsid w:val="000773F1"/>
    <w:rsid w:val="000838A7"/>
    <w:rsid w:val="00086E16"/>
    <w:rsid w:val="00092214"/>
    <w:rsid w:val="00096BEB"/>
    <w:rsid w:val="000A372F"/>
    <w:rsid w:val="000A4803"/>
    <w:rsid w:val="000A4F38"/>
    <w:rsid w:val="000A5EAD"/>
    <w:rsid w:val="000B4AB5"/>
    <w:rsid w:val="000B6EFF"/>
    <w:rsid w:val="000C1CCB"/>
    <w:rsid w:val="000C7632"/>
    <w:rsid w:val="000E77E1"/>
    <w:rsid w:val="000F683B"/>
    <w:rsid w:val="00100A5B"/>
    <w:rsid w:val="0010129B"/>
    <w:rsid w:val="001016BF"/>
    <w:rsid w:val="00103E01"/>
    <w:rsid w:val="00105FE4"/>
    <w:rsid w:val="00111A3E"/>
    <w:rsid w:val="001140AD"/>
    <w:rsid w:val="0011660A"/>
    <w:rsid w:val="00120B36"/>
    <w:rsid w:val="00122BD0"/>
    <w:rsid w:val="001265B6"/>
    <w:rsid w:val="00135D1E"/>
    <w:rsid w:val="00136A9A"/>
    <w:rsid w:val="00143DF7"/>
    <w:rsid w:val="00145A1C"/>
    <w:rsid w:val="00145BDD"/>
    <w:rsid w:val="001551B5"/>
    <w:rsid w:val="00160DC9"/>
    <w:rsid w:val="0016418B"/>
    <w:rsid w:val="00174690"/>
    <w:rsid w:val="00184497"/>
    <w:rsid w:val="00190816"/>
    <w:rsid w:val="00195DB2"/>
    <w:rsid w:val="001A1A8D"/>
    <w:rsid w:val="001A2227"/>
    <w:rsid w:val="001A2558"/>
    <w:rsid w:val="001A44EA"/>
    <w:rsid w:val="001A6C70"/>
    <w:rsid w:val="001B6D76"/>
    <w:rsid w:val="001D7EBF"/>
    <w:rsid w:val="001E08D1"/>
    <w:rsid w:val="001E79A5"/>
    <w:rsid w:val="00205ADB"/>
    <w:rsid w:val="002145FA"/>
    <w:rsid w:val="002233C7"/>
    <w:rsid w:val="00243BF4"/>
    <w:rsid w:val="00244F1F"/>
    <w:rsid w:val="002560B8"/>
    <w:rsid w:val="0027056E"/>
    <w:rsid w:val="002A07B7"/>
    <w:rsid w:val="002A34D9"/>
    <w:rsid w:val="002A43C0"/>
    <w:rsid w:val="002A4893"/>
    <w:rsid w:val="002B48BC"/>
    <w:rsid w:val="002B75FC"/>
    <w:rsid w:val="002D4EE2"/>
    <w:rsid w:val="002D577E"/>
    <w:rsid w:val="002E5961"/>
    <w:rsid w:val="002E6221"/>
    <w:rsid w:val="002F1E6C"/>
    <w:rsid w:val="002F63B0"/>
    <w:rsid w:val="002F764E"/>
    <w:rsid w:val="0030680F"/>
    <w:rsid w:val="00310337"/>
    <w:rsid w:val="00324659"/>
    <w:rsid w:val="0033762F"/>
    <w:rsid w:val="0034149C"/>
    <w:rsid w:val="0034687A"/>
    <w:rsid w:val="00352B8C"/>
    <w:rsid w:val="00354204"/>
    <w:rsid w:val="003625C6"/>
    <w:rsid w:val="00366511"/>
    <w:rsid w:val="003703DA"/>
    <w:rsid w:val="003729DD"/>
    <w:rsid w:val="003743BF"/>
    <w:rsid w:val="00374FDD"/>
    <w:rsid w:val="00390431"/>
    <w:rsid w:val="00395B87"/>
    <w:rsid w:val="003B4643"/>
    <w:rsid w:val="003B67C5"/>
    <w:rsid w:val="003D1FBC"/>
    <w:rsid w:val="003D2842"/>
    <w:rsid w:val="003E218B"/>
    <w:rsid w:val="003E3B7A"/>
    <w:rsid w:val="00407923"/>
    <w:rsid w:val="00414BAA"/>
    <w:rsid w:val="00416076"/>
    <w:rsid w:val="00417E16"/>
    <w:rsid w:val="00437960"/>
    <w:rsid w:val="004415D7"/>
    <w:rsid w:val="00460B5C"/>
    <w:rsid w:val="00470D31"/>
    <w:rsid w:val="00473552"/>
    <w:rsid w:val="004809F9"/>
    <w:rsid w:val="004842C6"/>
    <w:rsid w:val="004851CE"/>
    <w:rsid w:val="00492544"/>
    <w:rsid w:val="00494C2D"/>
    <w:rsid w:val="004B0D15"/>
    <w:rsid w:val="004C2B0D"/>
    <w:rsid w:val="004C53F3"/>
    <w:rsid w:val="004D02CB"/>
    <w:rsid w:val="004D3417"/>
    <w:rsid w:val="004D5560"/>
    <w:rsid w:val="004E4131"/>
    <w:rsid w:val="004F066E"/>
    <w:rsid w:val="004F3085"/>
    <w:rsid w:val="004F6712"/>
    <w:rsid w:val="004F68BE"/>
    <w:rsid w:val="00504073"/>
    <w:rsid w:val="00511E70"/>
    <w:rsid w:val="00512AA1"/>
    <w:rsid w:val="00524D1D"/>
    <w:rsid w:val="00531660"/>
    <w:rsid w:val="0053219A"/>
    <w:rsid w:val="00535B9B"/>
    <w:rsid w:val="00537E8B"/>
    <w:rsid w:val="0054778C"/>
    <w:rsid w:val="005502FC"/>
    <w:rsid w:val="0055632C"/>
    <w:rsid w:val="00560352"/>
    <w:rsid w:val="00560BF8"/>
    <w:rsid w:val="005631D1"/>
    <w:rsid w:val="005638D8"/>
    <w:rsid w:val="00566676"/>
    <w:rsid w:val="00566719"/>
    <w:rsid w:val="00572E06"/>
    <w:rsid w:val="00584261"/>
    <w:rsid w:val="005859AD"/>
    <w:rsid w:val="00591AAF"/>
    <w:rsid w:val="00596214"/>
    <w:rsid w:val="005A5018"/>
    <w:rsid w:val="005B3D58"/>
    <w:rsid w:val="005B50C8"/>
    <w:rsid w:val="005B5DF8"/>
    <w:rsid w:val="005B78AA"/>
    <w:rsid w:val="005C3F16"/>
    <w:rsid w:val="005C7F3A"/>
    <w:rsid w:val="005D3C58"/>
    <w:rsid w:val="005D4D69"/>
    <w:rsid w:val="005D72F8"/>
    <w:rsid w:val="005E276E"/>
    <w:rsid w:val="005E4639"/>
    <w:rsid w:val="005E4C13"/>
    <w:rsid w:val="005F45DA"/>
    <w:rsid w:val="005F72F8"/>
    <w:rsid w:val="00600949"/>
    <w:rsid w:val="0060132B"/>
    <w:rsid w:val="00601488"/>
    <w:rsid w:val="0060519B"/>
    <w:rsid w:val="00614FE7"/>
    <w:rsid w:val="00616C25"/>
    <w:rsid w:val="00623E96"/>
    <w:rsid w:val="00635DB6"/>
    <w:rsid w:val="006420C0"/>
    <w:rsid w:val="00643D9A"/>
    <w:rsid w:val="00646BAA"/>
    <w:rsid w:val="006566A4"/>
    <w:rsid w:val="00657711"/>
    <w:rsid w:val="006613A9"/>
    <w:rsid w:val="00665FE8"/>
    <w:rsid w:val="00671972"/>
    <w:rsid w:val="00680B86"/>
    <w:rsid w:val="00681137"/>
    <w:rsid w:val="00684F29"/>
    <w:rsid w:val="0068660C"/>
    <w:rsid w:val="00693CCE"/>
    <w:rsid w:val="00695B4C"/>
    <w:rsid w:val="006A0768"/>
    <w:rsid w:val="006A1D9B"/>
    <w:rsid w:val="006B08FD"/>
    <w:rsid w:val="006B24EC"/>
    <w:rsid w:val="006B2A41"/>
    <w:rsid w:val="006B5527"/>
    <w:rsid w:val="006B6D53"/>
    <w:rsid w:val="006B7687"/>
    <w:rsid w:val="006C13C0"/>
    <w:rsid w:val="006C2631"/>
    <w:rsid w:val="006D09E6"/>
    <w:rsid w:val="006D5A68"/>
    <w:rsid w:val="006D7A1A"/>
    <w:rsid w:val="006E3A5B"/>
    <w:rsid w:val="006E6EA5"/>
    <w:rsid w:val="006F5503"/>
    <w:rsid w:val="006F75A9"/>
    <w:rsid w:val="00701B08"/>
    <w:rsid w:val="00702C32"/>
    <w:rsid w:val="007105D6"/>
    <w:rsid w:val="00717989"/>
    <w:rsid w:val="0072508E"/>
    <w:rsid w:val="0073198B"/>
    <w:rsid w:val="00733D3D"/>
    <w:rsid w:val="00737004"/>
    <w:rsid w:val="00737438"/>
    <w:rsid w:val="007422AB"/>
    <w:rsid w:val="00745122"/>
    <w:rsid w:val="00760272"/>
    <w:rsid w:val="0076335E"/>
    <w:rsid w:val="00776645"/>
    <w:rsid w:val="00777CBE"/>
    <w:rsid w:val="0079263B"/>
    <w:rsid w:val="00792A39"/>
    <w:rsid w:val="0079305F"/>
    <w:rsid w:val="0079334A"/>
    <w:rsid w:val="007A4AAB"/>
    <w:rsid w:val="007A7CCF"/>
    <w:rsid w:val="007C011E"/>
    <w:rsid w:val="007C17DB"/>
    <w:rsid w:val="007C68FF"/>
    <w:rsid w:val="007C7BE7"/>
    <w:rsid w:val="007D0225"/>
    <w:rsid w:val="007D0403"/>
    <w:rsid w:val="007D2461"/>
    <w:rsid w:val="007D2C7F"/>
    <w:rsid w:val="007D70DC"/>
    <w:rsid w:val="007E148E"/>
    <w:rsid w:val="007E30ED"/>
    <w:rsid w:val="007E4F73"/>
    <w:rsid w:val="007E7056"/>
    <w:rsid w:val="007F16DD"/>
    <w:rsid w:val="007F5644"/>
    <w:rsid w:val="00801BC5"/>
    <w:rsid w:val="0080633F"/>
    <w:rsid w:val="008074E5"/>
    <w:rsid w:val="00817AE2"/>
    <w:rsid w:val="00817FB7"/>
    <w:rsid w:val="00822CD9"/>
    <w:rsid w:val="00834789"/>
    <w:rsid w:val="00844CB0"/>
    <w:rsid w:val="008467BC"/>
    <w:rsid w:val="00863827"/>
    <w:rsid w:val="0086520B"/>
    <w:rsid w:val="0086609E"/>
    <w:rsid w:val="008831DB"/>
    <w:rsid w:val="00883D2B"/>
    <w:rsid w:val="00886379"/>
    <w:rsid w:val="00893632"/>
    <w:rsid w:val="00894D7D"/>
    <w:rsid w:val="0089735F"/>
    <w:rsid w:val="00897D95"/>
    <w:rsid w:val="008A288D"/>
    <w:rsid w:val="008B5D81"/>
    <w:rsid w:val="008C037C"/>
    <w:rsid w:val="008D0CB6"/>
    <w:rsid w:val="008D719E"/>
    <w:rsid w:val="008D7DAE"/>
    <w:rsid w:val="008E1053"/>
    <w:rsid w:val="008E3D85"/>
    <w:rsid w:val="008F4319"/>
    <w:rsid w:val="00901EEA"/>
    <w:rsid w:val="00902D1F"/>
    <w:rsid w:val="00903536"/>
    <w:rsid w:val="009042BA"/>
    <w:rsid w:val="00906DBC"/>
    <w:rsid w:val="00911CBA"/>
    <w:rsid w:val="00916816"/>
    <w:rsid w:val="0091758A"/>
    <w:rsid w:val="0093010F"/>
    <w:rsid w:val="00930737"/>
    <w:rsid w:val="009411DE"/>
    <w:rsid w:val="00942D10"/>
    <w:rsid w:val="0094350E"/>
    <w:rsid w:val="0096789A"/>
    <w:rsid w:val="00970020"/>
    <w:rsid w:val="00970B0E"/>
    <w:rsid w:val="009711E5"/>
    <w:rsid w:val="0097463D"/>
    <w:rsid w:val="0098315A"/>
    <w:rsid w:val="00984CFD"/>
    <w:rsid w:val="00992F6A"/>
    <w:rsid w:val="009A1B91"/>
    <w:rsid w:val="009A3BCB"/>
    <w:rsid w:val="009A7A3C"/>
    <w:rsid w:val="009B0238"/>
    <w:rsid w:val="009B65FC"/>
    <w:rsid w:val="009B7789"/>
    <w:rsid w:val="009B79C5"/>
    <w:rsid w:val="009C21D5"/>
    <w:rsid w:val="009D1F4D"/>
    <w:rsid w:val="009D754E"/>
    <w:rsid w:val="009E1341"/>
    <w:rsid w:val="009F1347"/>
    <w:rsid w:val="00A01270"/>
    <w:rsid w:val="00A06777"/>
    <w:rsid w:val="00A148D4"/>
    <w:rsid w:val="00A15512"/>
    <w:rsid w:val="00A170AA"/>
    <w:rsid w:val="00A23243"/>
    <w:rsid w:val="00A2776E"/>
    <w:rsid w:val="00A33E77"/>
    <w:rsid w:val="00A33F7C"/>
    <w:rsid w:val="00A412F2"/>
    <w:rsid w:val="00A508EA"/>
    <w:rsid w:val="00A764DD"/>
    <w:rsid w:val="00A84701"/>
    <w:rsid w:val="00A85ABF"/>
    <w:rsid w:val="00A86EEB"/>
    <w:rsid w:val="00AB2F17"/>
    <w:rsid w:val="00AD2395"/>
    <w:rsid w:val="00AE1C2F"/>
    <w:rsid w:val="00AE4465"/>
    <w:rsid w:val="00AE4F58"/>
    <w:rsid w:val="00AE5188"/>
    <w:rsid w:val="00AE6094"/>
    <w:rsid w:val="00AE6185"/>
    <w:rsid w:val="00AF16C3"/>
    <w:rsid w:val="00AF48EC"/>
    <w:rsid w:val="00AF734B"/>
    <w:rsid w:val="00B11D11"/>
    <w:rsid w:val="00B13ACA"/>
    <w:rsid w:val="00B1635A"/>
    <w:rsid w:val="00B16473"/>
    <w:rsid w:val="00B225AE"/>
    <w:rsid w:val="00B23246"/>
    <w:rsid w:val="00B234A8"/>
    <w:rsid w:val="00B3467C"/>
    <w:rsid w:val="00B40573"/>
    <w:rsid w:val="00B430C4"/>
    <w:rsid w:val="00B4589D"/>
    <w:rsid w:val="00B45D56"/>
    <w:rsid w:val="00B5536D"/>
    <w:rsid w:val="00B631CD"/>
    <w:rsid w:val="00B64DEC"/>
    <w:rsid w:val="00B67170"/>
    <w:rsid w:val="00B734A4"/>
    <w:rsid w:val="00B771B8"/>
    <w:rsid w:val="00B9277A"/>
    <w:rsid w:val="00B965AC"/>
    <w:rsid w:val="00B96C0A"/>
    <w:rsid w:val="00BA1105"/>
    <w:rsid w:val="00BA1DCF"/>
    <w:rsid w:val="00BB4683"/>
    <w:rsid w:val="00BB646E"/>
    <w:rsid w:val="00BC0468"/>
    <w:rsid w:val="00BC1043"/>
    <w:rsid w:val="00BC1F8A"/>
    <w:rsid w:val="00BC3C66"/>
    <w:rsid w:val="00BD5256"/>
    <w:rsid w:val="00BE1272"/>
    <w:rsid w:val="00BE1A95"/>
    <w:rsid w:val="00BE6294"/>
    <w:rsid w:val="00BE6F88"/>
    <w:rsid w:val="00BF1BAA"/>
    <w:rsid w:val="00C00A9B"/>
    <w:rsid w:val="00C01F4C"/>
    <w:rsid w:val="00C04F60"/>
    <w:rsid w:val="00C07795"/>
    <w:rsid w:val="00C13258"/>
    <w:rsid w:val="00C33B3A"/>
    <w:rsid w:val="00C40951"/>
    <w:rsid w:val="00C43242"/>
    <w:rsid w:val="00C53CF1"/>
    <w:rsid w:val="00C63627"/>
    <w:rsid w:val="00C64D83"/>
    <w:rsid w:val="00C667B7"/>
    <w:rsid w:val="00C72223"/>
    <w:rsid w:val="00C81A39"/>
    <w:rsid w:val="00C85D54"/>
    <w:rsid w:val="00C918E6"/>
    <w:rsid w:val="00C96D0D"/>
    <w:rsid w:val="00C97B89"/>
    <w:rsid w:val="00CA0018"/>
    <w:rsid w:val="00CA42B6"/>
    <w:rsid w:val="00CA44CD"/>
    <w:rsid w:val="00CA4BAD"/>
    <w:rsid w:val="00CA7D96"/>
    <w:rsid w:val="00CB4CA7"/>
    <w:rsid w:val="00CD0573"/>
    <w:rsid w:val="00CD38DF"/>
    <w:rsid w:val="00CD55F0"/>
    <w:rsid w:val="00CD6360"/>
    <w:rsid w:val="00CF1EB8"/>
    <w:rsid w:val="00D02455"/>
    <w:rsid w:val="00D070D8"/>
    <w:rsid w:val="00D167C5"/>
    <w:rsid w:val="00D36F97"/>
    <w:rsid w:val="00D54772"/>
    <w:rsid w:val="00D555A4"/>
    <w:rsid w:val="00D60950"/>
    <w:rsid w:val="00D61CE2"/>
    <w:rsid w:val="00D64DC9"/>
    <w:rsid w:val="00D825C4"/>
    <w:rsid w:val="00D86934"/>
    <w:rsid w:val="00D955F6"/>
    <w:rsid w:val="00DA053F"/>
    <w:rsid w:val="00DA0EFB"/>
    <w:rsid w:val="00DA3B02"/>
    <w:rsid w:val="00DA5D8C"/>
    <w:rsid w:val="00DA7106"/>
    <w:rsid w:val="00DB0D3A"/>
    <w:rsid w:val="00DB669F"/>
    <w:rsid w:val="00DC36A4"/>
    <w:rsid w:val="00DC4352"/>
    <w:rsid w:val="00DC7D7A"/>
    <w:rsid w:val="00DD3628"/>
    <w:rsid w:val="00DD3BDF"/>
    <w:rsid w:val="00DE24C5"/>
    <w:rsid w:val="00DF037A"/>
    <w:rsid w:val="00DF1E36"/>
    <w:rsid w:val="00DF6FDB"/>
    <w:rsid w:val="00E01240"/>
    <w:rsid w:val="00E014C7"/>
    <w:rsid w:val="00E10814"/>
    <w:rsid w:val="00E12C15"/>
    <w:rsid w:val="00E1361A"/>
    <w:rsid w:val="00E164E5"/>
    <w:rsid w:val="00E165DA"/>
    <w:rsid w:val="00E22B50"/>
    <w:rsid w:val="00E2540E"/>
    <w:rsid w:val="00E448D8"/>
    <w:rsid w:val="00E5459E"/>
    <w:rsid w:val="00E54B3E"/>
    <w:rsid w:val="00E54F02"/>
    <w:rsid w:val="00E56469"/>
    <w:rsid w:val="00E572E5"/>
    <w:rsid w:val="00E622E9"/>
    <w:rsid w:val="00E6268C"/>
    <w:rsid w:val="00E627A7"/>
    <w:rsid w:val="00E74A91"/>
    <w:rsid w:val="00E84085"/>
    <w:rsid w:val="00E86B68"/>
    <w:rsid w:val="00E93BAC"/>
    <w:rsid w:val="00E96DC9"/>
    <w:rsid w:val="00EB75BC"/>
    <w:rsid w:val="00EC290A"/>
    <w:rsid w:val="00EC368D"/>
    <w:rsid w:val="00ED06B3"/>
    <w:rsid w:val="00ED0908"/>
    <w:rsid w:val="00ED409C"/>
    <w:rsid w:val="00ED577B"/>
    <w:rsid w:val="00ED5D00"/>
    <w:rsid w:val="00EE095A"/>
    <w:rsid w:val="00EE43C7"/>
    <w:rsid w:val="00EE58CF"/>
    <w:rsid w:val="00EE5CF5"/>
    <w:rsid w:val="00EE5D0A"/>
    <w:rsid w:val="00F0216E"/>
    <w:rsid w:val="00F02D72"/>
    <w:rsid w:val="00F07F87"/>
    <w:rsid w:val="00F15067"/>
    <w:rsid w:val="00F2104B"/>
    <w:rsid w:val="00F22CCF"/>
    <w:rsid w:val="00F23F1F"/>
    <w:rsid w:val="00F27CEB"/>
    <w:rsid w:val="00F3077B"/>
    <w:rsid w:val="00F30D27"/>
    <w:rsid w:val="00F31D85"/>
    <w:rsid w:val="00F33C8C"/>
    <w:rsid w:val="00F34491"/>
    <w:rsid w:val="00F35EA7"/>
    <w:rsid w:val="00F37239"/>
    <w:rsid w:val="00F403D8"/>
    <w:rsid w:val="00F4576C"/>
    <w:rsid w:val="00F45A76"/>
    <w:rsid w:val="00F50CA4"/>
    <w:rsid w:val="00F53B22"/>
    <w:rsid w:val="00F55902"/>
    <w:rsid w:val="00F566DC"/>
    <w:rsid w:val="00F56BEC"/>
    <w:rsid w:val="00F61514"/>
    <w:rsid w:val="00F67C76"/>
    <w:rsid w:val="00F714AF"/>
    <w:rsid w:val="00F74EE0"/>
    <w:rsid w:val="00F76262"/>
    <w:rsid w:val="00F802E5"/>
    <w:rsid w:val="00F80D2D"/>
    <w:rsid w:val="00F822C7"/>
    <w:rsid w:val="00F82347"/>
    <w:rsid w:val="00F9002F"/>
    <w:rsid w:val="00F90EF8"/>
    <w:rsid w:val="00F91FDB"/>
    <w:rsid w:val="00F95045"/>
    <w:rsid w:val="00FA20B4"/>
    <w:rsid w:val="00FA3420"/>
    <w:rsid w:val="00FA62C1"/>
    <w:rsid w:val="00FB2680"/>
    <w:rsid w:val="00FB582B"/>
    <w:rsid w:val="00FB655B"/>
    <w:rsid w:val="00FD29C8"/>
    <w:rsid w:val="00FE6A28"/>
    <w:rsid w:val="00FF0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984D0"/>
  <w15:docId w15:val="{6CA5D8D2-18FF-4051-B9D7-DB39E7FE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style>
  <w:style w:type="paragraph" w:styleId="Heading3">
    <w:name w:val="heading 3"/>
    <w:basedOn w:val="Normal"/>
    <w:next w:val="Normal"/>
    <w:qFormat/>
    <w:pPr>
      <w:keepNext/>
      <w:numPr>
        <w:ilvl w:val="12"/>
      </w:num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outlineLvl w:val="2"/>
    </w:pPr>
    <w:rPr>
      <w:b/>
      <w:sz w:val="22"/>
    </w:rPr>
  </w:style>
  <w:style w:type="paragraph" w:styleId="Heading4">
    <w:name w:val="heading 4"/>
    <w:basedOn w:val="Normal"/>
    <w:next w:val="Normal"/>
    <w:qFormat/>
    <w:pPr>
      <w:keepNext/>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s>
      <w:spacing w:line="233" w:lineRule="auto"/>
      <w:ind w:left="540" w:hanging="540"/>
      <w:outlineLvl w:val="3"/>
    </w:pPr>
    <w:rPr>
      <w:b/>
      <w:sz w:val="22"/>
    </w:rPr>
  </w:style>
  <w:style w:type="paragraph" w:styleId="Heading5">
    <w:name w:val="heading 5"/>
    <w:basedOn w:val="Normal"/>
    <w:next w:val="Normal"/>
    <w:qFormat/>
    <w:pPr>
      <w:keepNext/>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s>
      <w:spacing w:line="233" w:lineRule="auto"/>
      <w:ind w:left="540" w:hanging="630"/>
      <w:jc w:val="both"/>
      <w:outlineLvl w:val="4"/>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pPr>
      <w:tabs>
        <w:tab w:val="right" w:pos="9360"/>
      </w:tabs>
      <w:suppressAutoHyphen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rPr>
      <w:b/>
      <w:sz w:val="22"/>
    </w:rPr>
  </w:style>
  <w:style w:type="paragraph" w:styleId="BodyTextIndent">
    <w:name w:val="Body Text Indent"/>
    <w:basedOn w:val="Normal"/>
    <w:pPr>
      <w:tabs>
        <w:tab w:val="left" w:pos="-1080"/>
        <w:tab w:val="left" w:pos="-720"/>
        <w:tab w:val="left" w:pos="180"/>
        <w:tab w:val="left" w:pos="540"/>
        <w:tab w:val="left" w:pos="720"/>
        <w:tab w:val="left" w:pos="990"/>
        <w:tab w:val="left" w:pos="1440"/>
        <w:tab w:val="left" w:pos="1890"/>
        <w:tab w:val="left" w:pos="2520"/>
        <w:tab w:val="left" w:pos="3240"/>
        <w:tab w:val="left" w:pos="3960"/>
        <w:tab w:val="left" w:pos="4680"/>
        <w:tab w:val="left" w:pos="8640"/>
        <w:tab w:val="left" w:pos="9360"/>
      </w:tabs>
      <w:spacing w:line="232" w:lineRule="auto"/>
      <w:ind w:left="450" w:hanging="450"/>
    </w:pPr>
    <w:rPr>
      <w:b/>
      <w:sz w:val="22"/>
    </w:rPr>
  </w:style>
  <w:style w:type="paragraph" w:styleId="BodyTextIndent2">
    <w:name w:val="Body Text Indent 2"/>
    <w:basedOn w:val="Normal"/>
    <w:pPr>
      <w:tabs>
        <w:tab w:val="left" w:pos="-1080"/>
        <w:tab w:val="left" w:pos="-720"/>
        <w:tab w:val="left" w:pos="0"/>
        <w:tab w:val="left" w:pos="540"/>
        <w:tab w:val="left" w:pos="1080"/>
        <w:tab w:val="left" w:pos="1440"/>
        <w:tab w:val="left" w:pos="1890"/>
        <w:tab w:val="left" w:pos="2520"/>
        <w:tab w:val="left" w:pos="3240"/>
        <w:tab w:val="left" w:pos="3960"/>
        <w:tab w:val="left" w:pos="4680"/>
        <w:tab w:val="left" w:pos="8640"/>
        <w:tab w:val="left" w:pos="9360"/>
      </w:tabs>
      <w:spacing w:line="232" w:lineRule="auto"/>
      <w:ind w:left="1080"/>
    </w:pPr>
    <w:rPr>
      <w:sz w:val="22"/>
    </w:rPr>
  </w:style>
  <w:style w:type="paragraph" w:styleId="BodyTextIndent3">
    <w:name w:val="Body Text Indent 3"/>
    <w:basedOn w:val="Normal"/>
    <w:pPr>
      <w:tabs>
        <w:tab w:val="left" w:pos="-1080"/>
        <w:tab w:val="left" w:pos="-720"/>
        <w:tab w:val="left" w:pos="0"/>
        <w:tab w:val="left" w:pos="540"/>
        <w:tab w:val="left" w:pos="1440"/>
        <w:tab w:val="left" w:pos="1890"/>
        <w:tab w:val="left" w:pos="2520"/>
        <w:tab w:val="left" w:pos="3240"/>
        <w:tab w:val="left" w:pos="3960"/>
        <w:tab w:val="left" w:pos="4680"/>
        <w:tab w:val="left" w:pos="8640"/>
        <w:tab w:val="left" w:pos="9360"/>
      </w:tabs>
      <w:spacing w:line="232" w:lineRule="auto"/>
      <w:ind w:left="990"/>
    </w:pPr>
    <w:rPr>
      <w:sz w:val="22"/>
    </w:rPr>
  </w:style>
  <w:style w:type="paragraph" w:styleId="BodyText2">
    <w:name w:val="Body Text 2"/>
    <w:basedOn w:val="Normal"/>
    <w:rPr>
      <w:sz w:val="22"/>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Strong">
    <w:name w:val="Strong"/>
    <w:uiPriority w:val="22"/>
    <w:qFormat/>
    <w:rsid w:val="003703DA"/>
    <w:rPr>
      <w:b/>
      <w:bCs/>
    </w:rPr>
  </w:style>
  <w:style w:type="paragraph" w:customStyle="1" w:styleId="WPBodyText">
    <w:name w:val="WP_Body Text"/>
    <w:basedOn w:val="Normal"/>
    <w:rsid w:val="00A33E77"/>
    <w:pPr>
      <w:widowControl/>
      <w:jc w:val="both"/>
    </w:pPr>
    <w:rPr>
      <w:sz w:val="22"/>
    </w:rPr>
  </w:style>
  <w:style w:type="character" w:customStyle="1" w:styleId="UnresolvedMention1">
    <w:name w:val="Unresolved Mention1"/>
    <w:basedOn w:val="DefaultParagraphFont"/>
    <w:uiPriority w:val="99"/>
    <w:semiHidden/>
    <w:unhideWhenUsed/>
    <w:rsid w:val="00D555A4"/>
    <w:rPr>
      <w:color w:val="808080"/>
      <w:shd w:val="clear" w:color="auto" w:fill="E6E6E6"/>
    </w:rPr>
  </w:style>
  <w:style w:type="character" w:customStyle="1" w:styleId="UnresolvedMention2">
    <w:name w:val="Unresolved Mention2"/>
    <w:basedOn w:val="DefaultParagraphFont"/>
    <w:uiPriority w:val="99"/>
    <w:semiHidden/>
    <w:unhideWhenUsed/>
    <w:rsid w:val="00560BF8"/>
    <w:rPr>
      <w:color w:val="808080"/>
      <w:shd w:val="clear" w:color="auto" w:fill="E6E6E6"/>
    </w:rPr>
  </w:style>
  <w:style w:type="character" w:styleId="UnresolvedMention">
    <w:name w:val="Unresolved Mention"/>
    <w:basedOn w:val="DefaultParagraphFont"/>
    <w:uiPriority w:val="99"/>
    <w:semiHidden/>
    <w:unhideWhenUsed/>
    <w:rsid w:val="00556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240439">
      <w:bodyDiv w:val="1"/>
      <w:marLeft w:val="0"/>
      <w:marRight w:val="0"/>
      <w:marTop w:val="0"/>
      <w:marBottom w:val="0"/>
      <w:divBdr>
        <w:top w:val="none" w:sz="0" w:space="0" w:color="auto"/>
        <w:left w:val="none" w:sz="0" w:space="0" w:color="auto"/>
        <w:bottom w:val="none" w:sz="0" w:space="0" w:color="auto"/>
        <w:right w:val="none" w:sz="0" w:space="0" w:color="auto"/>
      </w:divBdr>
    </w:div>
    <w:div w:id="1551384180">
      <w:bodyDiv w:val="1"/>
      <w:marLeft w:val="0"/>
      <w:marRight w:val="0"/>
      <w:marTop w:val="0"/>
      <w:marBottom w:val="0"/>
      <w:divBdr>
        <w:top w:val="none" w:sz="0" w:space="0" w:color="auto"/>
        <w:left w:val="none" w:sz="0" w:space="0" w:color="auto"/>
        <w:bottom w:val="none" w:sz="0" w:space="0" w:color="auto"/>
        <w:right w:val="none" w:sz="0" w:space="0" w:color="auto"/>
      </w:divBdr>
    </w:div>
    <w:div w:id="165937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ole.Serfling@NIST.gov?subject=Monthly%20Trial%20Balan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alzer@doc.gov?cc=BHenshel@doc.gov&amp;subject=Attachment%20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Henshel@doc.gov?cc=KSalzer@doc.gov&amp;subject=Attachment%20H" TargetMode="External"/><Relationship Id="rId4" Type="http://schemas.openxmlformats.org/officeDocument/2006/relationships/settings" Target="settings.xml"/><Relationship Id="rId9" Type="http://schemas.openxmlformats.org/officeDocument/2006/relationships/hyperlink" Target="https://tfm.fiscal.treasury.gov/v1/supplements/ussgl/ussgl_part_2.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E896D-392C-4B1A-8CEB-B1402EAE6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822</Words>
  <Characters>5549</Characters>
  <Application>Microsoft Office Word</Application>
  <DocSecurity>0</DocSecurity>
  <Lines>792</Lines>
  <Paragraphs>254</Paragraphs>
  <ScaleCrop>false</ScaleCrop>
  <HeadingPairs>
    <vt:vector size="2" baseType="variant">
      <vt:variant>
        <vt:lpstr>Title</vt:lpstr>
      </vt:variant>
      <vt:variant>
        <vt:i4>1</vt:i4>
      </vt:variant>
    </vt:vector>
  </HeadingPairs>
  <TitlesOfParts>
    <vt:vector size="1" baseType="lpstr">
      <vt:lpstr>Draft Department of Commerce FY 2006/2007 Financial Statements Guidance</vt:lpstr>
    </vt:vector>
  </TitlesOfParts>
  <Company>Microsoft</Company>
  <LinksUpToDate>false</LinksUpToDate>
  <CharactersWithSpaces>6117</CharactersWithSpaces>
  <SharedDoc>false</SharedDoc>
  <HLinks>
    <vt:vector size="30" baseType="variant">
      <vt:variant>
        <vt:i4>7536713</vt:i4>
      </vt:variant>
      <vt:variant>
        <vt:i4>12</vt:i4>
      </vt:variant>
      <vt:variant>
        <vt:i4>0</vt:i4>
      </vt:variant>
      <vt:variant>
        <vt:i4>5</vt:i4>
      </vt:variant>
      <vt:variant>
        <vt:lpwstr>mailto:ABurks@doc.gov</vt:lpwstr>
      </vt:variant>
      <vt:variant>
        <vt:lpwstr/>
      </vt:variant>
      <vt:variant>
        <vt:i4>6684760</vt:i4>
      </vt:variant>
      <vt:variant>
        <vt:i4>9</vt:i4>
      </vt:variant>
      <vt:variant>
        <vt:i4>0</vt:i4>
      </vt:variant>
      <vt:variant>
        <vt:i4>5</vt:i4>
      </vt:variant>
      <vt:variant>
        <vt:lpwstr>mailto:ssmith@doc.gov</vt:lpwstr>
      </vt:variant>
      <vt:variant>
        <vt:lpwstr/>
      </vt:variant>
      <vt:variant>
        <vt:i4>1900605</vt:i4>
      </vt:variant>
      <vt:variant>
        <vt:i4>6</vt:i4>
      </vt:variant>
      <vt:variant>
        <vt:i4>0</vt:i4>
      </vt:variant>
      <vt:variant>
        <vt:i4>5</vt:i4>
      </vt:variant>
      <vt:variant>
        <vt:lpwstr>mailto:IMorrison@doc.gov</vt:lpwstr>
      </vt:variant>
      <vt:variant>
        <vt:lpwstr/>
      </vt:variant>
      <vt:variant>
        <vt:i4>4390936</vt:i4>
      </vt:variant>
      <vt:variant>
        <vt:i4>3</vt:i4>
      </vt:variant>
      <vt:variant>
        <vt:i4>0</vt:i4>
      </vt:variant>
      <vt:variant>
        <vt:i4>5</vt:i4>
      </vt:variant>
      <vt:variant>
        <vt:lpwstr>http://tfm.fiscal.treasury.gov/v1/supplements/ussgl.html</vt:lpwstr>
      </vt:variant>
      <vt:variant>
        <vt:lpwstr/>
      </vt:variant>
      <vt:variant>
        <vt:i4>524378</vt:i4>
      </vt:variant>
      <vt:variant>
        <vt:i4>0</vt:i4>
      </vt:variant>
      <vt:variant>
        <vt:i4>0</vt:i4>
      </vt:variant>
      <vt:variant>
        <vt:i4>5</vt:i4>
      </vt:variant>
      <vt:variant>
        <vt:lpwstr>http://www.fms.treas.gov/ussgl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Department of Commerce FY 2006/2007 Financial Statements Guidance</dc:title>
  <dc:creator>Atisha Burks</dc:creator>
  <cp:lastModifiedBy>Salzer, Kristin (Federal)</cp:lastModifiedBy>
  <cp:revision>10</cp:revision>
  <cp:lastPrinted>2018-08-31T18:48:00Z</cp:lastPrinted>
  <dcterms:created xsi:type="dcterms:W3CDTF">2019-03-06T18:42:00Z</dcterms:created>
  <dcterms:modified xsi:type="dcterms:W3CDTF">2020-12-10T18:45:00Z</dcterms:modified>
</cp:coreProperties>
</file>